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5"/>
        <w:jc w:val="center"/>
        <w:rPr>
          <w:rFonts w:ascii="黑体" w:hAnsi="宋体" w:eastAsia="黑体" w:cs="宋体"/>
          <w:b/>
          <w:kern w:val="0"/>
          <w:sz w:val="52"/>
          <w:szCs w:val="52"/>
        </w:rPr>
      </w:pPr>
    </w:p>
    <w:p>
      <w:pPr>
        <w:spacing w:line="360" w:lineRule="auto"/>
        <w:ind w:firstLine="645"/>
        <w:jc w:val="center"/>
        <w:rPr>
          <w:rFonts w:ascii="黑体" w:hAnsi="宋体" w:eastAsia="黑体" w:cs="宋体"/>
          <w:b/>
          <w:kern w:val="0"/>
          <w:sz w:val="52"/>
          <w:szCs w:val="52"/>
        </w:rPr>
      </w:pPr>
    </w:p>
    <w:p>
      <w:pPr>
        <w:spacing w:line="360" w:lineRule="auto"/>
        <w:ind w:firstLine="645"/>
        <w:jc w:val="center"/>
        <w:rPr>
          <w:rFonts w:ascii="黑体" w:hAnsi="宋体" w:eastAsia="黑体" w:cs="宋体"/>
          <w:b/>
          <w:kern w:val="0"/>
          <w:sz w:val="52"/>
          <w:szCs w:val="52"/>
        </w:rPr>
      </w:pPr>
      <w:r>
        <w:rPr>
          <w:rFonts w:hint="eastAsia" w:ascii="黑体" w:hAnsi="宋体" w:eastAsia="黑体" w:cs="宋体"/>
          <w:b/>
          <w:kern w:val="0"/>
          <w:sz w:val="52"/>
          <w:szCs w:val="52"/>
        </w:rPr>
        <w:t>福田区城市管理与服务</w:t>
      </w:r>
    </w:p>
    <w:p>
      <w:pPr>
        <w:spacing w:line="360" w:lineRule="auto"/>
        <w:ind w:firstLine="645"/>
        <w:jc w:val="center"/>
        <w:rPr>
          <w:rFonts w:ascii="黑体" w:hAnsi="宋体" w:eastAsia="黑体" w:cs="宋体"/>
          <w:b/>
          <w:kern w:val="0"/>
          <w:sz w:val="52"/>
          <w:szCs w:val="52"/>
        </w:rPr>
      </w:pPr>
      <w:r>
        <w:rPr>
          <w:rFonts w:hint="eastAsia" w:ascii="黑体" w:hAnsi="宋体" w:eastAsia="黑体" w:cs="宋体"/>
          <w:b/>
          <w:kern w:val="0"/>
          <w:sz w:val="52"/>
          <w:szCs w:val="52"/>
        </w:rPr>
        <w:t>“十三五”发展规划</w:t>
      </w:r>
    </w:p>
    <w:p>
      <w:pPr>
        <w:spacing w:line="360" w:lineRule="auto"/>
        <w:rPr>
          <w:rFonts w:ascii="仿宋_GB2312" w:eastAsia="仿宋_GB2312"/>
          <w:sz w:val="30"/>
          <w:szCs w:val="30"/>
        </w:rPr>
      </w:pPr>
    </w:p>
    <w:p>
      <w:pPr>
        <w:spacing w:line="360" w:lineRule="auto"/>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仿宋_GB2312" w:eastAsia="仿宋_GB2312"/>
          <w:sz w:val="30"/>
          <w:szCs w:val="30"/>
        </w:rPr>
      </w:pPr>
    </w:p>
    <w:p>
      <w:pPr>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福田区城市管理局</w:t>
      </w:r>
    </w:p>
    <w:p>
      <w:pPr>
        <w:spacing w:line="360" w:lineRule="auto"/>
        <w:jc w:val="center"/>
        <w:rPr>
          <w:rFonts w:ascii="黑体" w:eastAsia="黑体"/>
          <w:sz w:val="36"/>
          <w:szCs w:val="36"/>
        </w:rPr>
      </w:pPr>
      <w:r>
        <w:rPr>
          <w:rFonts w:hint="eastAsia" w:ascii="黑体" w:eastAsia="黑体"/>
          <w:sz w:val="36"/>
          <w:szCs w:val="36"/>
        </w:rPr>
        <w:t>二○一五年十月</w:t>
      </w:r>
    </w:p>
    <w:p>
      <w:pPr>
        <w:spacing w:line="360" w:lineRule="auto"/>
      </w:pPr>
    </w:p>
    <w:p>
      <w:pPr>
        <w:spacing w:line="360" w:lineRule="auto"/>
      </w:pPr>
    </w:p>
    <w:p>
      <w:pPr>
        <w:spacing w:line="360" w:lineRule="auto"/>
        <w:rPr>
          <w:rFonts w:ascii="黑体" w:eastAsia="黑体"/>
          <w:b/>
          <w:sz w:val="32"/>
          <w:szCs w:val="32"/>
        </w:rPr>
      </w:pPr>
    </w:p>
    <w:p>
      <w:pPr>
        <w:spacing w:line="360" w:lineRule="auto"/>
        <w:jc w:val="center"/>
        <w:rPr>
          <w:rFonts w:ascii="仿宋_GB2312" w:hAnsi="宋体" w:eastAsia="仿宋_GB2312"/>
          <w:sz w:val="30"/>
          <w:szCs w:val="30"/>
        </w:rPr>
      </w:pPr>
    </w:p>
    <w:p>
      <w:pPr>
        <w:spacing w:line="360" w:lineRule="auto"/>
        <w:jc w:val="center"/>
        <w:rPr>
          <w:rFonts w:ascii="黑体" w:hAnsi="宋体" w:eastAsia="黑体"/>
          <w:sz w:val="44"/>
          <w:szCs w:val="44"/>
        </w:rPr>
      </w:pPr>
      <w:r>
        <w:rPr>
          <w:rFonts w:hint="eastAsia" w:ascii="仿宋_GB2312" w:hAnsi="宋体" w:eastAsia="仿宋_GB2312"/>
          <w:sz w:val="30"/>
          <w:szCs w:val="30"/>
        </w:rPr>
        <w:fldChar w:fldCharType="begin"/>
      </w:r>
      <w:r>
        <w:rPr>
          <w:rFonts w:hint="eastAsia" w:ascii="仿宋_GB2312" w:hAnsi="宋体" w:eastAsia="仿宋_GB2312"/>
          <w:sz w:val="30"/>
          <w:szCs w:val="30"/>
        </w:rPr>
        <w:instrText xml:space="preserve"> TOC \o "1-3" \h \z \u </w:instrText>
      </w:r>
      <w:r>
        <w:rPr>
          <w:rFonts w:hint="eastAsia" w:ascii="仿宋_GB2312" w:hAnsi="宋体" w:eastAsia="仿宋_GB2312"/>
          <w:sz w:val="30"/>
          <w:szCs w:val="30"/>
        </w:rPr>
        <w:fldChar w:fldCharType="separate"/>
      </w:r>
      <w:bookmarkStart w:id="0" w:name="_Toc137794484"/>
      <w:r>
        <w:rPr>
          <w:rFonts w:hint="eastAsia" w:ascii="黑体" w:hAnsi="宋体" w:eastAsia="黑体"/>
          <w:sz w:val="44"/>
          <w:szCs w:val="44"/>
        </w:rPr>
        <w:t>目</w:t>
      </w:r>
      <w:r>
        <w:rPr>
          <w:rFonts w:hint="eastAsia" w:ascii="黑体" w:eastAsia="黑体"/>
          <w:sz w:val="44"/>
          <w:szCs w:val="44"/>
        </w:rPr>
        <w:t xml:space="preserve">  </w:t>
      </w:r>
      <w:r>
        <w:rPr>
          <w:rFonts w:hint="eastAsia" w:ascii="黑体" w:hAnsi="宋体" w:eastAsia="黑体"/>
          <w:sz w:val="44"/>
          <w:szCs w:val="44"/>
        </w:rPr>
        <w:t>录</w:t>
      </w:r>
      <w:bookmarkEnd w:id="0"/>
    </w:p>
    <w:p>
      <w:pPr>
        <w:spacing w:line="360" w:lineRule="auto"/>
        <w:jc w:val="center"/>
        <w:rPr>
          <w:rFonts w:ascii="黑体" w:hAnsi="宋体" w:eastAsia="黑体"/>
          <w:sz w:val="44"/>
          <w:szCs w:val="44"/>
        </w:rPr>
      </w:pPr>
    </w:p>
    <w:p>
      <w:pPr>
        <w:pStyle w:val="11"/>
        <w:spacing w:line="360" w:lineRule="auto"/>
      </w:pPr>
      <w:r>
        <w:fldChar w:fldCharType="begin"/>
      </w:r>
      <w:r>
        <w:instrText xml:space="preserve"> HYPERLINK \l "_Toc147305371" </w:instrText>
      </w:r>
      <w:r>
        <w:fldChar w:fldCharType="separate"/>
      </w:r>
      <w:r>
        <w:rPr>
          <w:rStyle w:val="20"/>
          <w:rFonts w:hint="eastAsia"/>
        </w:rPr>
        <w:t>第一部分  规划背景</w:t>
      </w:r>
      <w:r>
        <w:rPr>
          <w:rFonts w:hint="eastAsia"/>
        </w:rPr>
        <w:tab/>
      </w:r>
      <w:r>
        <w:rPr>
          <w:rFonts w:hint="eastAsia"/>
        </w:rPr>
        <w:fldChar w:fldCharType="end"/>
      </w:r>
      <w:r>
        <w:rPr>
          <w:rStyle w:val="20"/>
          <w:rFonts w:hint="eastAsia"/>
          <w:color w:val="auto"/>
          <w:u w:val="none"/>
        </w:rPr>
        <w:t>1</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"_Toc147305372" </w:instrText>
      </w:r>
      <w:r>
        <w:fldChar w:fldCharType="separate"/>
      </w:r>
      <w:r>
        <w:rPr>
          <w:rStyle w:val="20"/>
          <w:rFonts w:hint="eastAsia" w:ascii="仿宋_GB2312" w:eastAsia="仿宋_GB2312"/>
          <w:sz w:val="30"/>
          <w:szCs w:val="30"/>
        </w:rPr>
        <w:t>一、发展基础</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1</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"_Toc147305373" </w:instrText>
      </w:r>
      <w:r>
        <w:fldChar w:fldCharType="separate"/>
      </w:r>
      <w:r>
        <w:rPr>
          <w:rStyle w:val="20"/>
          <w:rFonts w:hint="eastAsia" w:ascii="仿宋_GB2312" w:eastAsia="仿宋_GB2312"/>
          <w:sz w:val="30"/>
          <w:szCs w:val="30"/>
        </w:rPr>
        <w:t>二、历史机遇</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4</w:t>
      </w:r>
    </w:p>
    <w:p>
      <w:pPr>
        <w:pStyle w:val="13"/>
        <w:tabs>
          <w:tab w:val="right" w:leader="middleDot" w:pos="9060"/>
        </w:tabs>
        <w:spacing w:line="360" w:lineRule="auto"/>
        <w:rPr>
          <w:rStyle w:val="20"/>
          <w:rFonts w:ascii="仿宋_GB2312" w:eastAsia="仿宋_GB2312"/>
          <w:sz w:val="30"/>
          <w:szCs w:val="30"/>
        </w:rPr>
      </w:pPr>
      <w:r>
        <w:fldChar w:fldCharType="begin"/>
      </w:r>
      <w:r>
        <w:instrText xml:space="preserve"> HYPERLINK \l "_Toc147305374" </w:instrText>
      </w:r>
      <w:r>
        <w:fldChar w:fldCharType="separate"/>
      </w:r>
      <w:r>
        <w:rPr>
          <w:rStyle w:val="20"/>
          <w:rFonts w:hint="eastAsia" w:ascii="仿宋_GB2312" w:eastAsia="仿宋_GB2312"/>
          <w:sz w:val="30"/>
          <w:szCs w:val="30"/>
        </w:rPr>
        <w:t>三、主要挑战</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6</w:t>
      </w:r>
    </w:p>
    <w:p>
      <w:pPr>
        <w:spacing w:line="360" w:lineRule="auto"/>
        <w:rPr>
          <w:rFonts w:ascii="仿宋_GB2312" w:eastAsia="仿宋_GB2312"/>
          <w:sz w:val="30"/>
          <w:szCs w:val="30"/>
        </w:rPr>
      </w:pPr>
    </w:p>
    <w:p>
      <w:pPr>
        <w:pStyle w:val="11"/>
        <w:spacing w:line="360" w:lineRule="auto"/>
      </w:pPr>
      <w:r>
        <w:fldChar w:fldCharType="begin"/>
      </w:r>
      <w:r>
        <w:instrText xml:space="preserve"> HYPERLINK \l "_Toc147305375" </w:instrText>
      </w:r>
      <w:r>
        <w:fldChar w:fldCharType="separate"/>
      </w:r>
      <w:r>
        <w:rPr>
          <w:rStyle w:val="20"/>
          <w:rFonts w:hint="eastAsia"/>
        </w:rPr>
        <w:t>第二部分  指导思想、基本原则与发展目标</w:t>
      </w:r>
      <w:r>
        <w:rPr>
          <w:rFonts w:hint="eastAsia"/>
        </w:rPr>
        <w:tab/>
      </w:r>
      <w:r>
        <w:rPr>
          <w:rFonts w:hint="eastAsia"/>
        </w:rPr>
        <w:fldChar w:fldCharType="end"/>
      </w:r>
      <w:r>
        <w:rPr>
          <w:rStyle w:val="20"/>
          <w:rFonts w:hint="eastAsia"/>
          <w:b w:val="0"/>
          <w:color w:val="auto"/>
          <w:u w:val="none"/>
        </w:rPr>
        <w:t>8</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"_Toc147305376" </w:instrText>
      </w:r>
      <w:r>
        <w:fldChar w:fldCharType="separate"/>
      </w:r>
      <w:r>
        <w:rPr>
          <w:rStyle w:val="20"/>
          <w:rFonts w:hint="eastAsia" w:ascii="仿宋_GB2312" w:eastAsia="仿宋_GB2312"/>
          <w:sz w:val="30"/>
          <w:szCs w:val="30"/>
        </w:rPr>
        <w:t>一、指导思想</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8</w:t>
      </w:r>
    </w:p>
    <w:p>
      <w:pPr>
        <w:pStyle w:val="13"/>
        <w:tabs>
          <w:tab w:val="right" w:leader="middleDot" w:pos="9060"/>
        </w:tabs>
        <w:spacing w:line="360" w:lineRule="auto"/>
        <w:rPr>
          <w:rStyle w:val="20"/>
          <w:rFonts w:ascii="仿宋_GB2312" w:eastAsia="仿宋_GB2312"/>
          <w:sz w:val="30"/>
          <w:szCs w:val="30"/>
        </w:rPr>
      </w:pPr>
      <w:r>
        <w:fldChar w:fldCharType="begin"/>
      </w:r>
      <w:r>
        <w:instrText xml:space="preserve"> HYPERLINK \l "_Toc147305377" </w:instrText>
      </w:r>
      <w:r>
        <w:fldChar w:fldCharType="separate"/>
      </w:r>
      <w:r>
        <w:rPr>
          <w:rStyle w:val="20"/>
          <w:rFonts w:hint="eastAsia" w:ascii="仿宋_GB2312" w:eastAsia="仿宋_GB2312"/>
          <w:sz w:val="30"/>
          <w:szCs w:val="30"/>
        </w:rPr>
        <w:t>二、基本原则</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8</w:t>
      </w:r>
    </w:p>
    <w:p>
      <w:pPr>
        <w:pStyle w:val="13"/>
        <w:tabs>
          <w:tab w:val="right" w:leader="middleDot" w:pos="9060"/>
        </w:tabs>
        <w:spacing w:line="360" w:lineRule="auto"/>
        <w:rPr>
          <w:rStyle w:val="20"/>
          <w:rFonts w:ascii="仿宋_GB2312" w:eastAsia="仿宋_GB2312"/>
          <w:color w:val="auto"/>
          <w:sz w:val="30"/>
          <w:szCs w:val="30"/>
          <w:u w:val="none"/>
        </w:rPr>
      </w:pPr>
      <w:r>
        <w:fldChar w:fldCharType="begin"/>
      </w:r>
      <w:r>
        <w:instrText xml:space="preserve"> HYPERLINK \l "_Toc147305388" </w:instrText>
      </w:r>
      <w:r>
        <w:fldChar w:fldCharType="separate"/>
      </w:r>
      <w:r>
        <w:rPr>
          <w:rStyle w:val="20"/>
          <w:rFonts w:hint="eastAsia" w:ascii="仿宋_GB2312" w:eastAsia="仿宋_GB2312"/>
          <w:sz w:val="30"/>
          <w:szCs w:val="30"/>
        </w:rPr>
        <w:t>三、发展目标</w:t>
      </w:r>
      <w:r>
        <w:rPr>
          <w:rStyle w:val="20"/>
          <w:rFonts w:hint="eastAsia" w:ascii="仿宋_GB2312" w:eastAsia="仿宋_GB2312"/>
          <w:sz w:val="30"/>
          <w:szCs w:val="30"/>
        </w:rPr>
        <w:fldChar w:fldCharType="end"/>
      </w:r>
      <w:r>
        <w:rPr>
          <w:rStyle w:val="20"/>
          <w:rFonts w:hint="eastAsia" w:ascii="仿宋_GB2312" w:eastAsia="仿宋_GB2312"/>
          <w:color w:val="auto"/>
          <w:sz w:val="30"/>
          <w:szCs w:val="30"/>
          <w:u w:val="none"/>
        </w:rPr>
        <w:tab/>
      </w:r>
      <w:r>
        <w:rPr>
          <w:rStyle w:val="20"/>
          <w:rFonts w:hint="eastAsia" w:ascii="仿宋_GB2312" w:eastAsia="仿宋_GB2312"/>
          <w:color w:val="auto"/>
          <w:sz w:val="30"/>
          <w:szCs w:val="30"/>
          <w:u w:val="none"/>
        </w:rPr>
        <w:t>10</w:t>
      </w:r>
    </w:p>
    <w:p>
      <w:pPr>
        <w:spacing w:line="360" w:lineRule="auto"/>
        <w:rPr>
          <w:rFonts w:ascii="仿宋_GB2312" w:eastAsia="仿宋_GB2312"/>
          <w:sz w:val="30"/>
          <w:szCs w:val="30"/>
        </w:rPr>
      </w:pPr>
    </w:p>
    <w:p>
      <w:pPr>
        <w:pStyle w:val="11"/>
        <w:spacing w:line="360" w:lineRule="auto"/>
      </w:pPr>
      <w:r>
        <w:fldChar w:fldCharType="begin"/>
      </w:r>
      <w:r>
        <w:instrText xml:space="preserve"> HYPERLINK \l "_Toc147305378" </w:instrText>
      </w:r>
      <w:r>
        <w:fldChar w:fldCharType="separate"/>
      </w:r>
      <w:r>
        <w:rPr>
          <w:rStyle w:val="20"/>
          <w:rFonts w:hint="eastAsia"/>
        </w:rPr>
        <w:t>第三部分  主要任务和重点项目</w:t>
      </w:r>
      <w:r>
        <w:rPr>
          <w:rFonts w:hint="eastAsia"/>
        </w:rPr>
        <w:tab/>
      </w:r>
      <w:r>
        <w:rPr>
          <w:rFonts w:hint="eastAsia"/>
        </w:rPr>
        <w:fldChar w:fldCharType="end"/>
      </w:r>
      <w:r>
        <w:rPr>
          <w:rStyle w:val="20"/>
          <w:rFonts w:hint="eastAsia"/>
          <w:color w:val="auto"/>
          <w:u w:val="none"/>
        </w:rPr>
        <w:t>11</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"_Toc147305379" </w:instrText>
      </w:r>
      <w:r>
        <w:fldChar w:fldCharType="separate"/>
      </w:r>
      <w:r>
        <w:rPr>
          <w:rStyle w:val="20"/>
          <w:rFonts w:hint="eastAsia" w:ascii="仿宋_GB2312" w:eastAsia="仿宋_GB2312"/>
          <w:sz w:val="30"/>
          <w:szCs w:val="30"/>
        </w:rPr>
        <w:t>一、突出质量提升,促进环卫事业更高水平发展</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11</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"_Toc147305383" </w:instrText>
      </w:r>
      <w:r>
        <w:fldChar w:fldCharType="separate"/>
      </w:r>
      <w:r>
        <w:rPr>
          <w:rStyle w:val="20"/>
          <w:rFonts w:hint="eastAsia" w:ascii="仿宋_GB2312" w:eastAsia="仿宋_GB2312"/>
          <w:sz w:val="30"/>
          <w:szCs w:val="30"/>
        </w:rPr>
        <w:t>二、坚持标杆引领，打造更加宜居的花园城区</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12</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"_Toc147305388" </w:instrText>
      </w:r>
      <w:r>
        <w:fldChar w:fldCharType="separate"/>
      </w:r>
      <w:r>
        <w:rPr>
          <w:rStyle w:val="20"/>
          <w:rFonts w:hint="eastAsia" w:ascii="仿宋_GB2312" w:eastAsia="仿宋_GB2312"/>
          <w:sz w:val="30"/>
          <w:szCs w:val="30"/>
        </w:rPr>
        <w:t>三、强化综合整治，确保整洁市容环境“里外如一”</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13</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"_Toc147305393" </w:instrText>
      </w:r>
      <w:r>
        <w:fldChar w:fldCharType="separate"/>
      </w:r>
      <w:r>
        <w:rPr>
          <w:rStyle w:val="20"/>
          <w:rFonts w:hint="eastAsia" w:ascii="仿宋_GB2312" w:eastAsia="仿宋_GB2312"/>
          <w:sz w:val="30"/>
          <w:szCs w:val="30"/>
        </w:rPr>
        <w:t>四、创新机制方法，构建协同高效城管综合执法</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14</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"_Toc147305396" </w:instrText>
      </w:r>
      <w:r>
        <w:fldChar w:fldCharType="separate"/>
      </w:r>
      <w:r>
        <w:rPr>
          <w:rStyle w:val="20"/>
          <w:rFonts w:hint="eastAsia" w:ascii="仿宋_GB2312" w:eastAsia="仿宋_GB2312"/>
          <w:sz w:val="30"/>
          <w:szCs w:val="30"/>
        </w:rPr>
        <w:t>五、</w:t>
      </w:r>
      <w:r>
        <w:rPr>
          <w:rFonts w:hint="eastAsia" w:ascii="仿宋_GB2312" w:hAnsi="宋体" w:eastAsia="仿宋_GB2312"/>
          <w:sz w:val="30"/>
          <w:szCs w:val="30"/>
        </w:rPr>
        <w:t>深化组织统筹，引领爱国卫生运动新常态</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15</w:t>
      </w:r>
    </w:p>
    <w:p>
      <w:pPr>
        <w:pStyle w:val="13"/>
        <w:tabs>
          <w:tab w:val="right" w:leader="middleDot" w:pos="9060"/>
        </w:tabs>
        <w:spacing w:line="360" w:lineRule="auto"/>
        <w:rPr>
          <w:rFonts w:ascii="仿宋_GB2312" w:eastAsia="仿宋_GB2312"/>
          <w:sz w:val="30"/>
          <w:szCs w:val="30"/>
        </w:rPr>
      </w:pPr>
      <w:r>
        <w:rPr>
          <w:rStyle w:val="20"/>
          <w:rFonts w:hint="eastAsia" w:ascii="仿宋_GB2312" w:eastAsia="仿宋_GB2312"/>
          <w:color w:val="auto"/>
          <w:sz w:val="30"/>
          <w:szCs w:val="30"/>
          <w:u w:val="none"/>
        </w:rPr>
        <w:t>六</w:t>
      </w:r>
      <w:r>
        <w:fldChar w:fldCharType="begin"/>
      </w:r>
      <w:r>
        <w:instrText xml:space="preserve"> HYPERLINK \l "_Toc147305399" </w:instrText>
      </w:r>
      <w:r>
        <w:fldChar w:fldCharType="separate"/>
      </w:r>
      <w:r>
        <w:rPr>
          <w:rStyle w:val="20"/>
          <w:rFonts w:hint="eastAsia" w:ascii="仿宋_GB2312" w:eastAsia="仿宋_GB2312"/>
          <w:sz w:val="30"/>
          <w:szCs w:val="30"/>
        </w:rPr>
        <w:t>、</w:t>
      </w:r>
      <w:r>
        <w:rPr>
          <w:rFonts w:hint="eastAsia" w:ascii="仿宋_GB2312" w:hAnsi="宋体" w:eastAsia="仿宋_GB2312"/>
          <w:sz w:val="30"/>
          <w:szCs w:val="30"/>
        </w:rPr>
        <w:t>落实源头预防，维护森林资源安全“零事故”</w:t>
      </w:r>
      <w:r>
        <w:rPr>
          <w:rStyle w:val="20"/>
          <w:rFonts w:hint="eastAsia"/>
        </w:rPr>
        <w:tab/>
      </w:r>
      <w:r>
        <w:rPr>
          <w:rStyle w:val="20"/>
          <w:rFonts w:hint="eastAsia"/>
        </w:rPr>
        <w:fldChar w:fldCharType="end"/>
      </w:r>
      <w:r>
        <w:rPr>
          <w:rStyle w:val="20"/>
          <w:rFonts w:hint="eastAsia" w:ascii="仿宋_GB2312" w:eastAsia="仿宋_GB2312"/>
          <w:color w:val="auto"/>
          <w:sz w:val="30"/>
          <w:szCs w:val="30"/>
          <w:u w:val="none"/>
        </w:rPr>
        <w:t>16</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"_Toc147305400" </w:instrText>
      </w:r>
      <w:r>
        <w:fldChar w:fldCharType="separate"/>
      </w:r>
      <w:r>
        <w:rPr>
          <w:rStyle w:val="20"/>
          <w:rFonts w:hint="eastAsia" w:ascii="仿宋_GB2312" w:eastAsia="仿宋_GB2312"/>
          <w:sz w:val="30"/>
          <w:szCs w:val="30"/>
        </w:rPr>
        <w:t>七、</w:t>
      </w:r>
      <w:r>
        <w:rPr>
          <w:rFonts w:hint="eastAsia" w:ascii="仿宋_GB2312" w:hAnsi="宋体" w:eastAsia="仿宋_GB2312"/>
          <w:sz w:val="30"/>
          <w:szCs w:val="30"/>
        </w:rPr>
        <w:t>推广垃圾分类，推动生态环境可持续发展</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17</w:t>
      </w:r>
    </w:p>
    <w:p>
      <w:pPr>
        <w:pStyle w:val="13"/>
        <w:tabs>
          <w:tab w:val="right" w:leader="middleDot" w:pos="9060"/>
        </w:tabs>
        <w:spacing w:line="360" w:lineRule="auto"/>
        <w:rPr>
          <w:rStyle w:val="20"/>
          <w:rFonts w:ascii="仿宋_GB2312" w:eastAsia="仿宋_GB2312"/>
          <w:color w:val="auto"/>
          <w:sz w:val="30"/>
          <w:szCs w:val="30"/>
          <w:u w:val="none"/>
        </w:rPr>
      </w:pPr>
      <w:r>
        <w:fldChar w:fldCharType="begin"/>
      </w:r>
      <w:r>
        <w:instrText xml:space="preserve"> HYPERLINK \l "_Toc147305401" </w:instrText>
      </w:r>
      <w:r>
        <w:fldChar w:fldCharType="separate"/>
      </w:r>
      <w:r>
        <w:rPr>
          <w:rStyle w:val="20"/>
          <w:rFonts w:hint="eastAsia" w:ascii="仿宋_GB2312" w:eastAsia="仿宋_GB2312"/>
          <w:sz w:val="30"/>
          <w:szCs w:val="30"/>
        </w:rPr>
        <w:t>八、</w:t>
      </w:r>
      <w:r>
        <w:rPr>
          <w:rFonts w:hint="eastAsia" w:ascii="仿宋_GB2312" w:hAnsi="宋体" w:eastAsia="仿宋_GB2312"/>
          <w:sz w:val="30"/>
          <w:szCs w:val="30"/>
        </w:rPr>
        <w:t>依托数据优势，建立效能高智慧型管理模式</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18</w:t>
      </w:r>
    </w:p>
    <w:p>
      <w:pPr>
        <w:pStyle w:val="11"/>
        <w:spacing w:line="360" w:lineRule="auto"/>
        <w:ind w:firstLine="148" w:firstLineChars="49"/>
      </w:pPr>
      <w:r>
        <w:fldChar w:fldCharType="begin"/>
      </w:r>
      <w:r>
        <w:instrText xml:space="preserve"> HYPERLINK \l "_Toc147305402" </w:instrText>
      </w:r>
      <w:r>
        <w:fldChar w:fldCharType="separate"/>
      </w:r>
      <w:r>
        <w:rPr>
          <w:rStyle w:val="20"/>
          <w:rFonts w:hint="eastAsia"/>
          <w:b w:val="0"/>
          <w:u w:val="none"/>
        </w:rPr>
        <w:t>九、鼓励公众参与，开创城市管理共建共享新局面</w:t>
      </w:r>
      <w:r>
        <w:rPr>
          <w:rFonts w:hint="eastAsia"/>
        </w:rPr>
        <w:tab/>
      </w:r>
      <w:r>
        <w:rPr>
          <w:rFonts w:hint="eastAsia"/>
        </w:rPr>
        <w:fldChar w:fldCharType="end"/>
      </w:r>
      <w:r>
        <w:rPr>
          <w:rStyle w:val="20"/>
          <w:rFonts w:hint="eastAsia"/>
          <w:color w:val="auto"/>
          <w:u w:val="none"/>
        </w:rPr>
        <w:t>19</w:t>
      </w:r>
    </w:p>
    <w:p>
      <w:pPr>
        <w:spacing w:line="360" w:lineRule="auto"/>
        <w:rPr>
          <w:rFonts w:ascii="仿宋_GB2312" w:eastAsia="仿宋_GB2312"/>
          <w:sz w:val="30"/>
          <w:szCs w:val="30"/>
        </w:rPr>
      </w:pPr>
    </w:p>
    <w:p>
      <w:pPr>
        <w:pStyle w:val="11"/>
        <w:spacing w:line="360" w:lineRule="auto"/>
      </w:pPr>
      <w:r>
        <w:fldChar w:fldCharType="begin"/>
      </w:r>
      <w:r>
        <w:instrText xml:space="preserve"> HYPERLINK \l "_Toc147305402" </w:instrText>
      </w:r>
      <w:r>
        <w:fldChar w:fldCharType="separate"/>
      </w:r>
      <w:r>
        <w:rPr>
          <w:rStyle w:val="20"/>
          <w:rFonts w:hint="eastAsia"/>
        </w:rPr>
        <w:t>第四部分  保障措施</w:t>
      </w:r>
      <w:r>
        <w:rPr>
          <w:rFonts w:hint="eastAsia"/>
        </w:rPr>
        <w:tab/>
      </w:r>
      <w:r>
        <w:rPr>
          <w:rFonts w:hint="eastAsia"/>
        </w:rPr>
        <w:fldChar w:fldCharType="end"/>
      </w:r>
      <w:r>
        <w:rPr>
          <w:rStyle w:val="20"/>
          <w:rFonts w:hint="eastAsia"/>
          <w:color w:val="auto"/>
          <w:u w:val="none"/>
        </w:rPr>
        <w:t>20</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"_Toc147305403" </w:instrText>
      </w:r>
      <w:r>
        <w:fldChar w:fldCharType="separate"/>
      </w:r>
      <w:r>
        <w:rPr>
          <w:rStyle w:val="20"/>
          <w:rFonts w:hint="eastAsia" w:ascii="仿宋_GB2312" w:eastAsia="仿宋_GB2312"/>
          <w:sz w:val="30"/>
          <w:szCs w:val="30"/>
        </w:rPr>
        <w:t>一、组织保障</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20</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"_Toc147305404" </w:instrText>
      </w:r>
      <w:r>
        <w:fldChar w:fldCharType="separate"/>
      </w:r>
      <w:r>
        <w:rPr>
          <w:rStyle w:val="20"/>
          <w:rFonts w:hint="eastAsia" w:ascii="仿宋_GB2312" w:eastAsia="仿宋_GB2312"/>
          <w:sz w:val="30"/>
          <w:szCs w:val="30"/>
        </w:rPr>
        <w:t>二、技术保障</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21</w:t>
      </w:r>
    </w:p>
    <w:p>
      <w:pPr>
        <w:pStyle w:val="13"/>
        <w:tabs>
          <w:tab w:val="right" w:leader="middleDot" w:pos="9060"/>
        </w:tabs>
        <w:spacing w:line="360" w:lineRule="auto"/>
        <w:rPr>
          <w:rFonts w:ascii="仿宋_GB2312" w:eastAsia="仿宋_GB2312"/>
          <w:smallCaps w:val="0"/>
          <w:sz w:val="30"/>
          <w:szCs w:val="30"/>
        </w:rPr>
      </w:pPr>
      <w:r>
        <w:fldChar w:fldCharType="begin"/>
      </w:r>
      <w:r>
        <w:instrText xml:space="preserve"> HYPERLINK \l "_Toc147305405" </w:instrText>
      </w:r>
      <w:r>
        <w:fldChar w:fldCharType="separate"/>
      </w:r>
      <w:r>
        <w:rPr>
          <w:rStyle w:val="20"/>
          <w:rFonts w:hint="eastAsia" w:ascii="仿宋_GB2312" w:eastAsia="仿宋_GB2312"/>
          <w:sz w:val="30"/>
          <w:szCs w:val="30"/>
        </w:rPr>
        <w:t>三、机制保障</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22</w:t>
      </w:r>
    </w:p>
    <w:p>
      <w:pPr>
        <w:pStyle w:val="13"/>
        <w:tabs>
          <w:tab w:val="right" w:leader="middleDot" w:pos="9060"/>
        </w:tabs>
        <w:spacing w:line="360" w:lineRule="auto"/>
        <w:rPr>
          <w:rStyle w:val="20"/>
          <w:rFonts w:ascii="仿宋_GB2312" w:eastAsia="仿宋_GB2312"/>
          <w:color w:val="auto"/>
          <w:sz w:val="30"/>
          <w:szCs w:val="30"/>
          <w:u w:val="none"/>
        </w:rPr>
      </w:pPr>
      <w:r>
        <w:fldChar w:fldCharType="begin"/>
      </w:r>
      <w:r>
        <w:instrText xml:space="preserve"> HYPERLINK \l "_Toc147305406" </w:instrText>
      </w:r>
      <w:r>
        <w:fldChar w:fldCharType="separate"/>
      </w:r>
      <w:r>
        <w:rPr>
          <w:rStyle w:val="20"/>
          <w:rFonts w:hint="eastAsia" w:ascii="仿宋_GB2312" w:eastAsia="仿宋_GB2312"/>
          <w:sz w:val="30"/>
          <w:szCs w:val="30"/>
        </w:rPr>
        <w:t>四、人才保障</w:t>
      </w:r>
      <w:r>
        <w:rPr>
          <w:rFonts w:hint="eastAsia" w:ascii="仿宋_GB2312" w:eastAsia="仿宋_GB2312"/>
          <w:sz w:val="30"/>
          <w:szCs w:val="30"/>
        </w:rPr>
        <w:tab/>
      </w:r>
      <w:r>
        <w:rPr>
          <w:rFonts w:hint="eastAsia" w:ascii="仿宋_GB2312" w:eastAsia="仿宋_GB2312"/>
          <w:sz w:val="30"/>
          <w:szCs w:val="30"/>
        </w:rPr>
        <w:fldChar w:fldCharType="end"/>
      </w:r>
      <w:r>
        <w:rPr>
          <w:rStyle w:val="20"/>
          <w:rFonts w:hint="eastAsia" w:ascii="仿宋_GB2312" w:eastAsia="仿宋_GB2312"/>
          <w:color w:val="auto"/>
          <w:sz w:val="30"/>
          <w:szCs w:val="30"/>
          <w:u w:val="none"/>
        </w:rPr>
        <w:t>23</w:t>
      </w:r>
    </w:p>
    <w:p>
      <w:pPr>
        <w:spacing w:line="360" w:lineRule="auto"/>
      </w:pPr>
    </w:p>
    <w:p>
      <w:pPr>
        <w:spacing w:line="360" w:lineRule="auto"/>
        <w:rPr>
          <w:rStyle w:val="20"/>
          <w:rFonts w:ascii="仿宋_GB2312" w:eastAsia="仿宋_GB2312"/>
          <w:sz w:val="30"/>
          <w:szCs w:val="30"/>
        </w:rPr>
      </w:pPr>
      <w:r>
        <w:fldChar w:fldCharType="begin"/>
      </w:r>
      <w:r>
        <w:instrText xml:space="preserve"> HYPERLINK \l "_Toc147305402" </w:instrText>
      </w:r>
      <w:r>
        <w:fldChar w:fldCharType="separate"/>
      </w:r>
      <w:r>
        <w:rPr>
          <w:rStyle w:val="20"/>
          <w:rFonts w:hint="eastAsia" w:ascii="仿宋_GB2312" w:eastAsia="仿宋_GB2312"/>
          <w:b/>
          <w:sz w:val="30"/>
          <w:szCs w:val="30"/>
        </w:rPr>
        <w:t xml:space="preserve">附表1  </w:t>
      </w:r>
      <w:r>
        <w:rPr>
          <w:rFonts w:hint="eastAsia" w:ascii="仿宋_GB2312" w:eastAsia="仿宋_GB2312"/>
          <w:b/>
          <w:sz w:val="30"/>
          <w:szCs w:val="30"/>
        </w:rPr>
        <w:t>福田区城市管理与服务“十三五”发展规划指标</w:t>
      </w:r>
      <w:r>
        <w:rPr>
          <w:rFonts w:hint="eastAsia" w:ascii="仿宋_GB2312" w:eastAsia="仿宋_GB2312"/>
          <w:b/>
          <w:sz w:val="30"/>
          <w:szCs w:val="30"/>
        </w:rPr>
        <w:fldChar w:fldCharType="end"/>
      </w:r>
    </w:p>
    <w:p>
      <w:pPr>
        <w:spacing w:line="360" w:lineRule="auto"/>
        <w:rPr>
          <w:rFonts w:ascii="仿宋_GB2312" w:eastAsia="仿宋_GB2312"/>
          <w:b/>
          <w:sz w:val="30"/>
          <w:szCs w:val="30"/>
        </w:rPr>
      </w:pPr>
      <w:r>
        <w:fldChar w:fldCharType="begin"/>
      </w:r>
      <w:r>
        <w:instrText xml:space="preserve"> HYPERLINK \l "_Toc147305402" </w:instrText>
      </w:r>
      <w:r>
        <w:fldChar w:fldCharType="separate"/>
      </w:r>
      <w:r>
        <w:rPr>
          <w:rStyle w:val="20"/>
          <w:rFonts w:hint="eastAsia" w:ascii="仿宋_GB2312" w:eastAsia="仿宋_GB2312"/>
          <w:b/>
          <w:sz w:val="30"/>
          <w:szCs w:val="30"/>
        </w:rPr>
        <w:t xml:space="preserve">附表2  </w:t>
      </w:r>
      <w:r>
        <w:rPr>
          <w:rFonts w:hint="eastAsia" w:ascii="仿宋_GB2312" w:eastAsia="仿宋_GB2312"/>
          <w:b/>
          <w:sz w:val="30"/>
          <w:szCs w:val="30"/>
        </w:rPr>
        <w:t>重大项目一览表</w:t>
      </w:r>
      <w:r>
        <w:rPr>
          <w:rFonts w:hint="eastAsia" w:ascii="仿宋_GB2312" w:eastAsia="仿宋_GB2312"/>
          <w:b/>
          <w:sz w:val="30"/>
          <w:szCs w:val="30"/>
        </w:rPr>
        <w:fldChar w:fldCharType="end"/>
      </w:r>
    </w:p>
    <w:p>
      <w:pPr>
        <w:spacing w:line="360" w:lineRule="auto"/>
        <w:jc w:val="center"/>
        <w:rPr>
          <w:rFonts w:ascii="仿宋_GB2312" w:eastAsia="仿宋_GB2312"/>
          <w:b/>
          <w:sz w:val="30"/>
          <w:szCs w:val="30"/>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仿宋_GB2312" w:hAnsi="宋体" w:eastAsia="仿宋_GB2312"/>
          <w:sz w:val="30"/>
          <w:szCs w:val="30"/>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0"/>
          <w:szCs w:val="30"/>
        </w:rPr>
        <w:fldChar w:fldCharType="end"/>
      </w:r>
    </w:p>
    <w:p>
      <w:pPr>
        <w:spacing w:line="360" w:lineRule="auto"/>
        <w:jc w:val="center"/>
        <w:rPr>
          <w:rFonts w:ascii="黑体" w:eastAsia="黑体"/>
          <w:b/>
          <w:sz w:val="36"/>
          <w:szCs w:val="36"/>
        </w:rPr>
      </w:pPr>
      <w:r>
        <w:rPr>
          <w:rFonts w:hint="eastAsia" w:ascii="黑体" w:eastAsia="黑体"/>
          <w:b/>
          <w:sz w:val="36"/>
          <w:szCs w:val="36"/>
        </w:rPr>
        <w:t>第一部分  规划背景</w:t>
      </w:r>
    </w:p>
    <w:p>
      <w:pPr>
        <w:spacing w:line="240" w:lineRule="exact"/>
        <w:rPr>
          <w:rFonts w:ascii="黑体" w:eastAsia="黑体"/>
          <w:sz w:val="30"/>
          <w:szCs w:val="30"/>
        </w:rPr>
      </w:pPr>
    </w:p>
    <w:p>
      <w:pPr>
        <w:spacing w:line="360" w:lineRule="auto"/>
        <w:rPr>
          <w:rFonts w:ascii="黑体" w:eastAsia="黑体"/>
          <w:b/>
          <w:sz w:val="30"/>
          <w:szCs w:val="30"/>
        </w:rPr>
      </w:pPr>
      <w:r>
        <w:rPr>
          <w:rFonts w:hint="eastAsia" w:ascii="黑体" w:eastAsia="黑体"/>
          <w:b/>
          <w:sz w:val="30"/>
          <w:szCs w:val="30"/>
        </w:rPr>
        <w:t xml:space="preserve">    一、发展基础</w:t>
      </w:r>
    </w:p>
    <w:p>
      <w:pPr>
        <w:pStyle w:val="2"/>
        <w:spacing w:line="360" w:lineRule="auto"/>
        <w:ind w:firstLine="0" w:firstLineChars="0"/>
        <w:rPr>
          <w:rFonts w:ascii="仿宋_GB2312" w:hAnsi="宋体" w:eastAsia="仿宋_GB2312"/>
          <w:sz w:val="28"/>
          <w:szCs w:val="28"/>
        </w:rPr>
      </w:pPr>
      <w:r>
        <w:rPr>
          <w:rFonts w:hint="eastAsia" w:ascii="仿宋_GB2312" w:hAnsi="宋体" w:eastAsia="仿宋_GB2312"/>
          <w:sz w:val="28"/>
          <w:szCs w:val="28"/>
        </w:rPr>
        <w:t xml:space="preserve">    “十二五”期间，我区城市管理以“打造高品质综合环境”为目标，以“服务至上，精益求精”为主线，不断提高城市管理科学化、规范化、标准化和精细化水平，提升城区综合环境附加值。目前，辖区公园总数106个，绿道总里程147公里；清扫保洁、绿化管养全部实行市场化专业化管理，生活垃圾密闭收运率90%，机械化清扫率100%，城市管理和服务工作走在全国前列。</w:t>
      </w:r>
    </w:p>
    <w:p>
      <w:pPr>
        <w:pStyle w:val="2"/>
        <w:spacing w:line="360" w:lineRule="auto"/>
        <w:ind w:firstLine="562"/>
        <w:rPr>
          <w:rFonts w:ascii="仿宋_GB2312" w:hAnsi="宋体" w:eastAsia="仿宋_GB2312"/>
          <w:sz w:val="28"/>
          <w:szCs w:val="28"/>
        </w:rPr>
      </w:pPr>
      <w:r>
        <w:rPr>
          <w:rFonts w:hint="eastAsia" w:ascii="仿宋_GB2312" w:hAnsi="宋体" w:eastAsia="仿宋_GB2312"/>
          <w:b/>
          <w:bCs/>
          <w:sz w:val="28"/>
          <w:szCs w:val="28"/>
        </w:rPr>
        <w:t>绿化景观水平大幅提升。</w:t>
      </w:r>
      <w:r>
        <w:rPr>
          <w:rFonts w:hint="eastAsia" w:ascii="仿宋_GB2312" w:hAnsi="宋体" w:eastAsia="仿宋_GB2312"/>
          <w:sz w:val="28"/>
          <w:szCs w:val="28"/>
        </w:rPr>
        <w:t>提升道路绿化水平，先后完成了深南中路、</w:t>
      </w:r>
      <w:r>
        <w:rPr>
          <w:rFonts w:hint="eastAsia" w:ascii="仿宋_GB2312" w:hAnsi="仿宋_GB2312" w:eastAsia="仿宋_GB2312" w:cs="仿宋_GB2312"/>
          <w:sz w:val="28"/>
          <w:szCs w:val="28"/>
        </w:rPr>
        <w:t>红荔路等</w:t>
      </w:r>
      <w:r>
        <w:rPr>
          <w:rFonts w:hint="eastAsia" w:ascii="仿宋_GB2312" w:hAnsi="宋体" w:eastAsia="仿宋_GB2312"/>
          <w:sz w:val="28"/>
          <w:szCs w:val="28"/>
        </w:rPr>
        <w:t>21条主干道沿线绿化景观提升，改造绿化面积超过90万平方米，并打造了国花路等6条生态景观大道；在广深高速福田段、福龙路福田段打造了共12.2公里、1545亩的生态风景林。打造特色城区景观，完成了70个道路渠化岛的改造，在梅林片区营造了“十万梅花绽梅林”景观，在竹子林片区打造了“赏竹、论竹、研竹、品竹”于一体的竹文化景观。持续增花种绿，整治黄土裸露47万平方米、完成地铁复绿24万平方米；美化、艺术化沿街围墙2万平方米，在全区重点区域种植市花簕杜鹃10万余株，布置花卉景观 24000盆、悬挂设置仿真花约3600余株，形成了“处处有景、处处有花”的城区绿化景观。</w:t>
      </w:r>
    </w:p>
    <w:p>
      <w:pPr>
        <w:pStyle w:val="2"/>
        <w:spacing w:line="360" w:lineRule="auto"/>
        <w:ind w:firstLine="562"/>
        <w:rPr>
          <w:rFonts w:ascii="仿宋_GB2312" w:hAnsi="宋体" w:eastAsia="仿宋_GB2312"/>
          <w:sz w:val="28"/>
          <w:szCs w:val="28"/>
        </w:rPr>
      </w:pPr>
      <w:r>
        <w:rPr>
          <w:rFonts w:hint="eastAsia" w:ascii="仿宋_GB2312" w:hAnsi="宋体" w:eastAsia="仿宋_GB2312"/>
          <w:b/>
          <w:bCs/>
          <w:sz w:val="28"/>
          <w:szCs w:val="28"/>
        </w:rPr>
        <w:t>生态宜居品质持续向好。</w:t>
      </w:r>
      <w:r>
        <w:rPr>
          <w:rFonts w:hint="eastAsia" w:ascii="仿宋_GB2312" w:hAnsi="宋体" w:eastAsia="仿宋_GB2312"/>
          <w:sz w:val="28"/>
          <w:szCs w:val="28"/>
        </w:rPr>
        <w:t>规划“百园福田”建设，新建精品街心公园17个，道路都市休闲公园带5个，主题特色社区公园5个，改造提升老旧社区公园41个，开工建设大型市政公园香蜜公园，公园总数达到106个，“推窗见绿、出门进园”的居住格局初步形成。完善城区慢行系统，建设完成了130公里的城市绿道，涉及深南大道等主要城市道路、各主要居住区以及各大公园区域，配套建设公共自行车站点45个，投放公共自行车1000辆，并打造了37公里环型闭合绿道，市民可一日之内尽览福田独特“山林城海”风光。实施立体绿化缓解城市热岛效应，完成19个屋顶绿化、22个立面绿化、5座立交桥体绿化建设，全区符合条件的20座立交桥全部实现垂直绿化，发动辖区4000余户家庭参与打造“最美阳台”。</w:t>
      </w:r>
    </w:p>
    <w:p>
      <w:pPr>
        <w:pStyle w:val="2"/>
        <w:spacing w:line="360" w:lineRule="auto"/>
        <w:ind w:firstLine="562"/>
        <w:rPr>
          <w:rFonts w:ascii="仿宋_GB2312" w:hAnsi="仿宋_GB2312" w:eastAsia="仿宋_GB2312" w:cs="仿宋_GB2312"/>
          <w:sz w:val="28"/>
          <w:szCs w:val="28"/>
        </w:rPr>
      </w:pPr>
      <w:r>
        <w:rPr>
          <w:rFonts w:hint="eastAsia" w:ascii="仿宋_GB2312" w:hAnsi="宋体" w:eastAsia="仿宋_GB2312"/>
          <w:b/>
          <w:bCs/>
          <w:sz w:val="28"/>
          <w:szCs w:val="28"/>
        </w:rPr>
        <w:t>环境卫生质量不断提高。</w:t>
      </w:r>
      <w:r>
        <w:rPr>
          <w:rFonts w:hint="eastAsia" w:ascii="仿宋_GB2312" w:hAnsi="仿宋_GB2312" w:eastAsia="仿宋_GB2312" w:cs="仿宋_GB2312"/>
          <w:sz w:val="28"/>
          <w:szCs w:val="28"/>
        </w:rPr>
        <w:t>大力推进城市环境卫生精细化、专业化管理，建立了《福田区环境卫生质量评价体系》，率先实现1252万平方米道路保洁和545万平方米道路绿地保洁一体化，2013年被评为广东省环卫工作先进集体。推进城中村爱卫环卫市场化管理，实现区财政全额投入，引入专业公司作业。在全市率先推动生活垃圾从收集到运输再到进市政站处理的全过程密闭收运，密闭收运率达90%，并在全市推广。升级改造环卫基础设施设备，完成城中村、工业区25座垃圾转运站以及16个市政公厕垃圾站升级改造，新建3座厨余垃圾处理中心、3座社区公园公厕，</w:t>
      </w:r>
      <w:r>
        <w:rPr>
          <w:rFonts w:hint="eastAsia" w:ascii="仿宋_GB2312" w:hAnsi="仿宋_GB2312" w:eastAsia="仿宋_GB2312" w:cs="仿宋_GB2312"/>
          <w:kern w:val="0"/>
          <w:sz w:val="28"/>
          <w:szCs w:val="28"/>
        </w:rPr>
        <w:t>采购安装道路果皮箱14108个，</w:t>
      </w:r>
      <w:r>
        <w:rPr>
          <w:rFonts w:hint="eastAsia" w:ascii="仿宋_GB2312" w:hAnsi="仿宋_GB2312" w:eastAsia="仿宋_GB2312" w:cs="仿宋_GB2312"/>
          <w:sz w:val="28"/>
          <w:szCs w:val="28"/>
        </w:rPr>
        <w:t>完成197个环卫工具房升级改造以及100座环卫工具房周边美化亮化工程。</w:t>
      </w:r>
    </w:p>
    <w:p>
      <w:pPr>
        <w:pStyle w:val="2"/>
        <w:spacing w:line="360" w:lineRule="auto"/>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市容综合整治成效显著。</w:t>
      </w:r>
      <w:r>
        <w:rPr>
          <w:rFonts w:hint="eastAsia" w:ascii="仿宋_GB2312" w:hAnsi="仿宋_GB2312" w:eastAsia="仿宋_GB2312" w:cs="仿宋_GB2312"/>
          <w:sz w:val="28"/>
          <w:szCs w:val="28"/>
        </w:rPr>
        <w:t>开展了建区以来规模最大的户外广告整治，总计拆除户外招牌广告42万平方米，清洗修补面积65602.55平方米，对全区98个路段及部分重点区域、建筑物的门店招牌按照“安全、环保、美观”的原则进行规范化重置，统一安装面板4898块，共计重置面积达71253平方米，全面提升了街区立面档次。率先在全市完成14个城中村三类、二类综合整治，城中村市容环境和公共服务水平大幅提升。创新开展城市视觉系统和户外广告规划，并对城区重要节点和商圈的楼宇进行立面一体化景观改造，完成70栋楼宇的控制性规划和12个城区节点设计，促城区形象和营商环境再升级。</w:t>
      </w:r>
    </w:p>
    <w:p>
      <w:pPr>
        <w:pStyle w:val="2"/>
        <w:spacing w:line="360" w:lineRule="auto"/>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综合执法效能明显增强。</w:t>
      </w:r>
      <w:r>
        <w:rPr>
          <w:rFonts w:hint="eastAsia" w:ascii="仿宋_GB2312" w:hAnsi="仿宋_GB2312" w:eastAsia="仿宋_GB2312" w:cs="仿宋_GB2312"/>
          <w:sz w:val="28"/>
          <w:szCs w:val="28"/>
        </w:rPr>
        <w:t>率先推行城管公安“三联”机制，加强城市管理工作的执法保障，优化执法环境，提高执法质量，并被纳入《深圳经济特区城市管理综合执法条例》。组建城市管理民族工作组，以交流培训形式聘请新疆籍城管执法人员协助工作，破解少数民族乱摆卖执法难问题。成立公安城管民政联合执法大队，加强流浪乞讨人员的救助管理工作，实现我区重要场所的流浪乞讨人员基本杜绝，其他区域可控、有序。创新城市管理疏导机制，试点设置便民张贴栏、废品回收、建筑垃圾中转站等疏导点，解决乱张贴、占道废品收购、建筑垃圾偷排乱倒等难点问题。</w:t>
      </w:r>
    </w:p>
    <w:p>
      <w:pPr>
        <w:pStyle w:val="2"/>
        <w:spacing w:line="360" w:lineRule="auto"/>
        <w:ind w:firstLine="562"/>
        <w:rPr>
          <w:rFonts w:ascii="仿宋_GB2312" w:hAnsi="宋体" w:eastAsia="仿宋_GB2312"/>
          <w:sz w:val="28"/>
          <w:szCs w:val="28"/>
        </w:rPr>
      </w:pPr>
      <w:r>
        <w:rPr>
          <w:rFonts w:hint="eastAsia" w:ascii="仿宋_GB2312" w:hAnsi="仿宋_GB2312" w:eastAsia="仿宋_GB2312" w:cs="仿宋_GB2312"/>
          <w:b/>
          <w:bCs/>
          <w:sz w:val="28"/>
          <w:szCs w:val="28"/>
        </w:rPr>
        <w:t>城管公共服务更加优质。</w:t>
      </w:r>
      <w:r>
        <w:rPr>
          <w:rFonts w:hint="eastAsia" w:ascii="仿宋_GB2312" w:hAnsi="仿宋_GB2312" w:eastAsia="仿宋_GB2312" w:cs="仿宋_GB2312"/>
          <w:sz w:val="28"/>
          <w:szCs w:val="28"/>
        </w:rPr>
        <w:t>积极组织爱国卫生运动，全力灭“四害”、防控登革热等疫情，创建省卫生村11个、市卫生村10个、区卫生村4个。</w:t>
      </w:r>
      <w:r>
        <w:rPr>
          <w:rFonts w:hint="eastAsia" w:ascii="仿宋_GB2312" w:hAnsi="宋体" w:eastAsia="仿宋_GB2312"/>
          <w:sz w:val="28"/>
          <w:szCs w:val="28"/>
        </w:rPr>
        <w:t>扎实推进垃圾减量分类，创建72个垃圾减量分类试点，将全区247个机关事业单位和中小学校纳入垃圾减量分类试点，在209个小区安装废旧电池回收箱，在60个小区安装废旧衣物回收箱，获评全市治污保洁优秀项目。加强林业管理，加强薇甘菊等林业有害生物防控，做好森林防火工作，全区连续21年未发生森林火灾和人员伤亡事故。创新犬只管理模式，将登记流程中的犬只品种验证、芯片注射环节委托给具备资质的20家宠物医院办理，在全市率先实现犬只管理“一站式”服务。</w:t>
      </w:r>
    </w:p>
    <w:p>
      <w:pPr>
        <w:pStyle w:val="2"/>
        <w:spacing w:line="360" w:lineRule="auto"/>
        <w:ind w:firstLine="562"/>
        <w:rPr>
          <w:rFonts w:ascii="仿宋_GB2312" w:hAnsi="仿宋_GB2312" w:eastAsia="仿宋_GB2312"/>
          <w:sz w:val="28"/>
          <w:szCs w:val="28"/>
        </w:rPr>
      </w:pPr>
      <w:r>
        <w:rPr>
          <w:rFonts w:hint="eastAsia" w:ascii="仿宋_GB2312" w:hAnsi="宋体" w:eastAsia="仿宋_GB2312"/>
          <w:b/>
          <w:bCs/>
          <w:sz w:val="28"/>
          <w:szCs w:val="28"/>
        </w:rPr>
        <w:t>国际化管理模式逐渐形成。</w:t>
      </w:r>
      <w:r>
        <w:rPr>
          <w:rFonts w:hint="eastAsia" w:ascii="仿宋_GB2312" w:hAnsi="宋体" w:eastAsia="仿宋_GB2312"/>
          <w:sz w:val="28"/>
          <w:szCs w:val="28"/>
        </w:rPr>
        <w:t>实施道路综合环境“路长制”管理，由28名区领导分别担任辖区30条主次干道的“路长”，各职能部门和街道组成责任团队，按照“大城管”的思路，对道路市容市貌、市容秩序、路面安全等环境进行综合管理。建设完成福田区城市管理指挥调度系统，对辖区市容市貌进行全方位智能监控，实现了从指挥中心到路面的快捷处置。以全市市容环境综合考核为契机，会同各街道在建立机制、落实责任、强化管理、加大投入、解决短板和提升环境等各方面狠下功夫，促进了城市管理工作长效化。</w:t>
      </w:r>
      <w:r>
        <w:rPr>
          <w:rFonts w:hint="eastAsia" w:ascii="仿宋_GB2312" w:hAnsi="仿宋_GB2312" w:eastAsia="仿宋_GB2312"/>
          <w:sz w:val="28"/>
          <w:szCs w:val="28"/>
        </w:rPr>
        <w:t>大力开展“开门办城管”和“城管服务进社区”系列活动，积极营造“开门办城管”良好氛围，城市管理齐抓共管局面不断形成。</w:t>
      </w:r>
    </w:p>
    <w:p>
      <w:pPr>
        <w:spacing w:line="360" w:lineRule="auto"/>
        <w:rPr>
          <w:rFonts w:ascii="黑体" w:eastAsia="黑体"/>
          <w:b/>
          <w:sz w:val="30"/>
          <w:szCs w:val="30"/>
        </w:rPr>
      </w:pPr>
      <w:r>
        <w:rPr>
          <w:rFonts w:hint="eastAsia" w:ascii="黑体" w:eastAsia="黑体"/>
          <w:b/>
          <w:sz w:val="30"/>
          <w:szCs w:val="30"/>
        </w:rPr>
        <w:t xml:space="preserve">    二、历史机遇</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十三五”期间，是打造高品质综合环境“福田样本”的关键时期，是全面实施精细管理美化市容的机遇期。随着市民对市容环境的清洁度、健康度、美誉度要求更高，市民对市容环境建设的关注度更多，对市容环境管理的要求也更高。</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（一）新的城市功能定位为城市管理与服务提供了有力保障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市第六次党代会提出未来五年要建设“两区三市”，即更具改革开放引领作用的经济特区、更高水平的国家自主创新示范区、更具辐射力带动力的全国经济中心城市、更具竞争力影响力的国际化城市、更高质量的民生幸福城市。福田区作为深圳的中心城区，在对接全市战略发展上，提出要打造高品质综合环境，加快建设一流国际化中心城区。福田不仅深化了环境建设内涵，从过去单纯强调生态、城市建设概念的狭义环境，拓展到法治、营商、人文、生态等四大领域的广义环境，同时还推出了高品质综合环境评价指标体系。要求到2020年，建立与一流国际化中心城区相匹配、健全完善的高品质综合环境建设、监测、评价标准体系，提升区域价值，释放环境红利，努力让在福田工作生活、创业发展的人们，切实感受到发展环境最好、创新体系最优、幸福指数最高、生态环境最美、综合竞争力最强，率先形成一流国际化中心城区的高品质环境。市委市政府、区委区政府对新的城市功能定位为城市管理与服务工作提供了有力的保障。</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（二）前期的发展为新一轮城市管理与服务优化奠定的良好基础</w:t>
      </w:r>
    </w:p>
    <w:p>
      <w:pPr>
        <w:spacing w:line="360" w:lineRule="auto"/>
        <w:ind w:firstLine="560" w:firstLineChars="200"/>
        <w:rPr>
          <w:rFonts w:ascii="仿宋_GB2312" w:eastAsia="仿宋_GB2312"/>
          <w:color w:val="000000"/>
          <w:sz w:val="28"/>
          <w:szCs w:val="28"/>
        </w:rPr>
      </w:pPr>
      <w:r>
        <w:rPr>
          <w:rFonts w:hint="eastAsia" w:ascii="仿宋_GB2312" w:eastAsia="仿宋_GB2312"/>
          <w:sz w:val="28"/>
          <w:szCs w:val="28"/>
        </w:rPr>
        <w:t xml:space="preserve"> 经过近几年长足发展，福田区经济、社会各项事业取得了显著成绩，</w:t>
      </w:r>
      <w:r>
        <w:rPr>
          <w:rFonts w:hint="eastAsia" w:ascii="仿宋_GB2312" w:eastAsia="仿宋_GB2312"/>
          <w:color w:val="000000"/>
          <w:sz w:val="28"/>
          <w:szCs w:val="28"/>
        </w:rPr>
        <w:t>辖区物质文明、政治文明、精神文明建设与和谐社会建设全面发展。地区生产总值地均集约度37.62亿元/平方公里，为全市平均水平的5倍；税收地均集约度10.17亿元/平方公里，居全市各区之首；万元GDP建设用地、水耗、电耗，均大大低于全市平均水平。各项指标说明，福田作为深圳质量排头兵的地位进一步稳固。在城市管理与服务方面也打下了良好的基础。前期的发展，为城市管理工作以更高的起点、更高的标准和更高的要求向前迈进积累了有利条件。</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（三）发展契机为加强城市管理与服务带来重要机遇</w:t>
      </w:r>
    </w:p>
    <w:p>
      <w:pPr>
        <w:spacing w:line="360" w:lineRule="auto"/>
        <w:ind w:firstLine="560" w:firstLineChars="200"/>
        <w:rPr>
          <w:rFonts w:ascii="仿宋_GB2312" w:eastAsia="仿宋_GB2312"/>
          <w:color w:val="000000"/>
          <w:sz w:val="28"/>
          <w:szCs w:val="28"/>
        </w:rPr>
      </w:pPr>
      <w:r>
        <w:rPr>
          <w:rFonts w:hint="eastAsia" w:ascii="仿宋_GB2312" w:eastAsia="仿宋_GB2312"/>
          <w:sz w:val="28"/>
          <w:szCs w:val="28"/>
        </w:rPr>
        <w:t>随着国家将“生态文明建设”提到国家发展“五位一体”的战略高度，国家“</w:t>
      </w:r>
      <w:bookmarkStart w:id="4" w:name="_GoBack"/>
      <w:bookmarkEnd w:id="4"/>
      <w:r>
        <w:rPr>
          <w:rFonts w:hint="eastAsia" w:ascii="仿宋_GB2312" w:eastAsia="仿宋_GB2312"/>
          <w:sz w:val="28"/>
          <w:szCs w:val="28"/>
        </w:rPr>
        <w:t>一带一路”</w:t>
      </w:r>
      <w:r>
        <w:rPr>
          <w:rFonts w:hint="eastAsia" w:ascii="仿宋_GB2312" w:eastAsia="仿宋_GB2312"/>
          <w:sz w:val="28"/>
          <w:szCs w:val="28"/>
          <w:lang w:val="en-US" w:eastAsia="zh-CN"/>
        </w:rPr>
        <w:t>倡议</w:t>
      </w:r>
      <w:r>
        <w:rPr>
          <w:rFonts w:hint="eastAsia" w:ascii="仿宋_GB2312" w:eastAsia="仿宋_GB2312"/>
          <w:sz w:val="28"/>
          <w:szCs w:val="28"/>
        </w:rPr>
        <w:t>实施，珠三角一体化进程加快，深圳粤港澳</w:t>
      </w:r>
      <w:r>
        <w:rPr>
          <w:rFonts w:hint="eastAsia" w:ascii="仿宋_GB2312" w:eastAsia="仿宋_GB2312"/>
          <w:sz w:val="28"/>
          <w:szCs w:val="28"/>
          <w:lang w:val="en-US" w:eastAsia="zh-CN"/>
        </w:rPr>
        <w:t>大</w:t>
      </w:r>
      <w:r>
        <w:rPr>
          <w:rFonts w:hint="eastAsia" w:ascii="仿宋_GB2312" w:eastAsia="仿宋_GB2312"/>
          <w:sz w:val="28"/>
          <w:szCs w:val="28"/>
        </w:rPr>
        <w:t>湾区经济建设大力推进，各项重大机遇优势叠加，与生态环境建设紧密相关的城市管理等工作也将迎来更大的发展机遇。在此背景下，福田城市管理有更广大的空间、手段、资源、技术、平台等综合优势，有条件通过加强城市管理、优化生态环境，吸引人们到福田创业、安居、发展，使居民群众充分享受到自然之美、和谐之美。</w:t>
      </w:r>
    </w:p>
    <w:p>
      <w:pPr>
        <w:spacing w:line="360" w:lineRule="auto"/>
        <w:rPr>
          <w:rFonts w:ascii="黑体" w:eastAsia="黑体"/>
          <w:b/>
          <w:sz w:val="30"/>
          <w:szCs w:val="30"/>
        </w:rPr>
      </w:pPr>
      <w:bookmarkStart w:id="1" w:name="_Toc137194391"/>
      <w:bookmarkStart w:id="2" w:name="_Toc137794489"/>
      <w:bookmarkStart w:id="3" w:name="_Toc147305374"/>
      <w:r>
        <w:rPr>
          <w:rFonts w:hint="eastAsia" w:ascii="黑体" w:eastAsia="黑体"/>
          <w:b/>
          <w:sz w:val="30"/>
          <w:szCs w:val="30"/>
        </w:rPr>
        <w:t xml:space="preserve">    三、主要挑战</w:t>
      </w:r>
      <w:bookmarkEnd w:id="1"/>
      <w:bookmarkEnd w:id="2"/>
      <w:bookmarkEnd w:id="3"/>
    </w:p>
    <w:p>
      <w:pPr>
        <w:spacing w:line="360" w:lineRule="auto"/>
        <w:ind w:firstLine="645"/>
        <w:rPr>
          <w:rFonts w:ascii="仿宋_GB2312" w:hAnsi="宋体" w:eastAsia="仿宋_GB2312"/>
          <w:sz w:val="28"/>
          <w:szCs w:val="28"/>
        </w:rPr>
      </w:pPr>
      <w:r>
        <w:rPr>
          <w:rFonts w:hint="eastAsia" w:ascii="仿宋_GB2312" w:eastAsia="仿宋_GB2312"/>
          <w:sz w:val="28"/>
          <w:szCs w:val="28"/>
        </w:rPr>
        <w:t>“十三五”时期，</w:t>
      </w:r>
      <w:r>
        <w:rPr>
          <w:rFonts w:hint="eastAsia" w:ascii="仿宋_GB2312" w:hAnsi="宋体" w:eastAsia="仿宋_GB2312"/>
          <w:sz w:val="28"/>
          <w:szCs w:val="28"/>
        </w:rPr>
        <w:t>福田区城市管理和服务</w:t>
      </w:r>
      <w:r>
        <w:rPr>
          <w:rFonts w:hint="eastAsia" w:ascii="仿宋_GB2312" w:eastAsia="仿宋_GB2312"/>
          <w:sz w:val="28"/>
          <w:szCs w:val="28"/>
        </w:rPr>
        <w:t>面临着难得的发展机遇，同时也存在着一些问题和挑战，</w:t>
      </w:r>
      <w:r>
        <w:rPr>
          <w:rFonts w:hint="eastAsia" w:ascii="仿宋_GB2312" w:hAnsi="宋体" w:eastAsia="仿宋_GB2312"/>
          <w:sz w:val="28"/>
          <w:szCs w:val="28"/>
        </w:rPr>
        <w:t>主要有：</w:t>
      </w:r>
    </w:p>
    <w:p>
      <w:pPr>
        <w:spacing w:line="360" w:lineRule="auto"/>
        <w:ind w:firstLine="422" w:firstLineChars="150"/>
        <w:rPr>
          <w:rFonts w:ascii="仿宋_GB2312" w:eastAsia="仿宋_GB2312"/>
          <w:b/>
          <w:sz w:val="28"/>
          <w:szCs w:val="28"/>
        </w:rPr>
      </w:pPr>
      <w:r>
        <w:rPr>
          <w:rFonts w:hint="eastAsia" w:ascii="仿宋_GB2312" w:eastAsia="仿宋_GB2312"/>
          <w:b/>
          <w:sz w:val="28"/>
          <w:szCs w:val="28"/>
        </w:rPr>
        <w:t>（一）中心城区资源紧缺，城市管理和服务的提升面临瓶颈。</w:t>
      </w:r>
    </w:p>
    <w:p>
      <w:pPr>
        <w:spacing w:line="360" w:lineRule="auto"/>
        <w:ind w:firstLine="560" w:firstLineChars="200"/>
        <w:rPr>
          <w:rFonts w:ascii="仿宋_GB2312" w:hAnsi="Arial" w:eastAsia="仿宋_GB2312" w:cs="Arial"/>
          <w:b/>
          <w:sz w:val="28"/>
          <w:szCs w:val="28"/>
        </w:rPr>
      </w:pPr>
      <w:r>
        <w:rPr>
          <w:rFonts w:hint="eastAsia" w:ascii="仿宋_GB2312" w:eastAsia="仿宋_GB2312"/>
          <w:sz w:val="28"/>
          <w:szCs w:val="28"/>
        </w:rPr>
        <w:t>福田中心区位于深圳的地理中心，作为深圳“二次创业”的主要功能区，集行政、金融、商务、文化、信息、会展、旅游于一体，在城市转型升级的过程，也面临土地、人口、资源、环境“四个难以为继”的困扰，城市管理和服务工作中的公园建设、市政设施建设、绿化提升等都将受到一定程度的制约。同时，</w:t>
      </w:r>
      <w:r>
        <w:rPr>
          <w:rFonts w:hint="eastAsia" w:ascii="仿宋_GB2312" w:hAnsi="Arial" w:eastAsia="仿宋_GB2312" w:cs="Arial"/>
          <w:sz w:val="28"/>
          <w:szCs w:val="28"/>
        </w:rPr>
        <w:t>近年来随着深圳城市化进程的迅速推进，出现流动人口激增，造成城市人口增长，使得城市人均享受的城市管理和服务（如人均公园面积等）紧缺，</w:t>
      </w:r>
      <w:r>
        <w:rPr>
          <w:rFonts w:hint="eastAsia" w:ascii="仿宋_GB2312" w:eastAsia="仿宋_GB2312"/>
          <w:sz w:val="28"/>
          <w:szCs w:val="28"/>
        </w:rPr>
        <w:t>城市管理与服务功能的提升压力较大</w:t>
      </w:r>
      <w:r>
        <w:rPr>
          <w:rFonts w:hint="eastAsia" w:ascii="仿宋_GB2312" w:hAnsi="Arial" w:eastAsia="仿宋_GB2312" w:cs="Arial"/>
          <w:sz w:val="28"/>
          <w:szCs w:val="28"/>
        </w:rPr>
        <w:t>，亟需创新思路、创新手段、创新方法来寻找新的“增长点”，促进城市管理服务的再升级。</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（二）城市管理机制不够顺畅，城市精细管理有待加强。</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城市管理的机制还不够顺畅，横向上，城市管理各职能部门之间存在职能分割、交叉等问题，协同效应不足，城市管理缺位、越位现象时有发生；纵向上，市、区、街道三级城市管理事权划分还不够完善，权责不对等的问题仍然突出。日常管理在相当程度上依赖着突击管理、运动式管理，在工作标准、考核机制、奖惩措施等城市管理长效机制的构建上存在不足。</w:t>
      </w:r>
    </w:p>
    <w:p>
      <w:pPr>
        <w:spacing w:line="360" w:lineRule="auto"/>
        <w:rPr>
          <w:rFonts w:ascii="仿宋_GB2312" w:eastAsia="仿宋_GB2312"/>
          <w:sz w:val="28"/>
          <w:szCs w:val="28"/>
        </w:rPr>
      </w:pPr>
      <w:r>
        <w:rPr>
          <w:rFonts w:hint="eastAsia" w:ascii="仿宋_GB2312" w:eastAsia="仿宋_GB2312"/>
          <w:sz w:val="28"/>
          <w:szCs w:val="28"/>
        </w:rPr>
        <w:t xml:space="preserve">    另一方面，当前城市管理精细化水平还不够，背街小巷、城中村等地的城市管理、市容环境仍然比较薄弱，与建设一流国际化中心城区的要求相距甚远。</w:t>
      </w:r>
    </w:p>
    <w:p>
      <w:pPr>
        <w:spacing w:line="360" w:lineRule="auto"/>
        <w:rPr>
          <w:rFonts w:ascii="仿宋_GB2312" w:eastAsia="仿宋_GB2312"/>
          <w:b/>
          <w:sz w:val="28"/>
          <w:szCs w:val="28"/>
        </w:rPr>
      </w:pPr>
      <w:r>
        <w:rPr>
          <w:rFonts w:hint="eastAsia" w:ascii="仿宋_GB2312" w:eastAsia="仿宋_GB2312"/>
          <w:b/>
          <w:sz w:val="28"/>
          <w:szCs w:val="28"/>
        </w:rPr>
        <w:t xml:space="preserve">    （三）城管执法难题仍然存在，需要进一步改革创新提高效能。</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自实施城市管理综合执法以来，城管执法工作中面临的暴力抗法、执法手段匮乏、法律法规不完善等问题一直困扰基层执法工作。而另一方面，由于执法对象的特殊性，社会舆论对城管执法普遍存在抵触情况，执法人员不文明执法现象也时有发生。从福田区现状来看，还存在街道执法人员人手不足的问题，特别是2013年，查违工作由区下放到街道后，人员没有相应配足，导致街道执法队大部分的执法资源用于查违工作中，极大削弱了对市容环境管理执法力度；此外，对一些重大市容环境违法行为，如随意倾倒建筑垃圾、大件家具等，由于取证手段、法律处罚等方面的不足，执法查处存在困难，这些问题都制约了城市管理综合执法效能的进一步提升。</w:t>
      </w:r>
    </w:p>
    <w:p>
      <w:pPr>
        <w:spacing w:line="360" w:lineRule="auto"/>
        <w:ind w:firstLine="562" w:firstLineChars="200"/>
        <w:rPr>
          <w:rFonts w:ascii="仿宋_GB2312" w:eastAsia="仿宋_GB2312"/>
          <w:b/>
          <w:color w:val="000000"/>
          <w:sz w:val="28"/>
          <w:szCs w:val="28"/>
        </w:rPr>
      </w:pPr>
      <w:r>
        <w:rPr>
          <w:rFonts w:hint="eastAsia" w:ascii="仿宋_GB2312" w:eastAsia="仿宋_GB2312"/>
          <w:b/>
          <w:sz w:val="28"/>
          <w:szCs w:val="28"/>
        </w:rPr>
        <w:t>（四）</w:t>
      </w:r>
      <w:r>
        <w:rPr>
          <w:rFonts w:hint="eastAsia" w:ascii="仿宋_GB2312" w:eastAsia="仿宋_GB2312"/>
          <w:b/>
          <w:color w:val="000000"/>
          <w:sz w:val="28"/>
          <w:szCs w:val="28"/>
        </w:rPr>
        <w:t>社会参与不高，多元主体需统筹整合。</w:t>
      </w:r>
    </w:p>
    <w:p>
      <w:pPr>
        <w:spacing w:line="360" w:lineRule="auto"/>
        <w:ind w:firstLine="560" w:firstLineChars="200"/>
        <w:rPr>
          <w:rFonts w:ascii="仿宋_GB2312" w:eastAsia="仿宋_GB2312"/>
          <w:color w:val="000000"/>
          <w:sz w:val="28"/>
          <w:szCs w:val="28"/>
        </w:rPr>
      </w:pPr>
      <w:r>
        <w:rPr>
          <w:rFonts w:hint="eastAsia" w:ascii="仿宋_GB2312" w:eastAsia="仿宋_GB2312"/>
          <w:sz w:val="28"/>
          <w:szCs w:val="28"/>
        </w:rPr>
        <w:t>随着城市现代化进程的不断加快，市民主体意识的不断培养，现有城市管理仅靠政府管理的思路、理念已越来越难以适应新的形势和要求。但是从</w:t>
      </w:r>
      <w:r>
        <w:rPr>
          <w:rFonts w:hint="eastAsia" w:ascii="仿宋_GB2312" w:eastAsia="仿宋_GB2312"/>
          <w:color w:val="000000"/>
          <w:sz w:val="28"/>
          <w:szCs w:val="28"/>
        </w:rPr>
        <w:t>目前来看，市民对城市管理的认可度不高，市民自身的参与管理意识、节约资源和环境保护的意识还需要进一步培养。各企事业单位、社会组织、中介机构的主体作用没有充分发挥；市民参与城市管理的渠道、方式、机制不完善。因此需要统筹整合多元主体参与城市管理，使城市管理从单一管理变多元参与，促进城市管理向城市治理转变。</w:t>
      </w:r>
    </w:p>
    <w:p>
      <w:pPr>
        <w:spacing w:line="360" w:lineRule="auto"/>
        <w:ind w:firstLine="560" w:firstLineChars="200"/>
        <w:rPr>
          <w:rFonts w:ascii="仿宋_GB2312" w:eastAsia="仿宋_GB2312"/>
          <w:color w:val="000000"/>
          <w:sz w:val="28"/>
          <w:szCs w:val="28"/>
        </w:rPr>
      </w:pPr>
    </w:p>
    <w:p>
      <w:pPr>
        <w:spacing w:line="360" w:lineRule="auto"/>
        <w:jc w:val="center"/>
        <w:rPr>
          <w:rFonts w:ascii="黑体" w:eastAsia="黑体"/>
          <w:b/>
          <w:sz w:val="36"/>
          <w:szCs w:val="36"/>
        </w:rPr>
      </w:pPr>
      <w:r>
        <w:rPr>
          <w:rFonts w:hint="eastAsia" w:ascii="黑体" w:eastAsia="黑体"/>
          <w:b/>
          <w:sz w:val="36"/>
          <w:szCs w:val="36"/>
        </w:rPr>
        <w:t>第二部分  指导思想、基本原则与发展目标</w:t>
      </w:r>
    </w:p>
    <w:p>
      <w:pPr>
        <w:spacing w:line="360" w:lineRule="auto"/>
        <w:rPr>
          <w:rFonts w:ascii="黑体" w:eastAsia="黑体"/>
          <w:b/>
          <w:sz w:val="30"/>
          <w:szCs w:val="30"/>
        </w:rPr>
      </w:pPr>
    </w:p>
    <w:p>
      <w:pPr>
        <w:spacing w:line="360" w:lineRule="auto"/>
        <w:ind w:firstLine="602" w:firstLineChars="200"/>
        <w:rPr>
          <w:rFonts w:ascii="黑体" w:eastAsia="黑体"/>
          <w:b/>
          <w:sz w:val="30"/>
          <w:szCs w:val="30"/>
        </w:rPr>
      </w:pPr>
      <w:r>
        <w:rPr>
          <w:rFonts w:hint="eastAsia" w:ascii="黑体" w:eastAsia="黑体"/>
          <w:b/>
          <w:sz w:val="30"/>
          <w:szCs w:val="30"/>
        </w:rPr>
        <w:t>一、指导思想</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深入贯彻落实党的十八大、十八届三中全会精神和习近平总书记系列重要讲话精神，围绕市第六次党代会提出的“勇当四个全面排头兵，努力建成现代化国际化创新城市”的战略目标，坚持高起点规划、高水平建设、高效能管理，推进福田城市管理工作向标准化、精细化、品质化、法治化模式转变；主动适应城市管理新常态，转变建设管理理念，突出以人为本，更加强化服务功能，更加注重改善民生和生态环境建设，致力满足市民全面需求，体现建设管理的品质化与服务的人性化，大幅提升城区宜居水平，为打造高品质综合环境做出贡献。</w:t>
      </w:r>
    </w:p>
    <w:p>
      <w:pPr>
        <w:spacing w:line="360" w:lineRule="auto"/>
        <w:ind w:firstLine="602" w:firstLineChars="200"/>
        <w:rPr>
          <w:rFonts w:ascii="黑体" w:eastAsia="黑体"/>
          <w:b/>
          <w:sz w:val="30"/>
          <w:szCs w:val="30"/>
        </w:rPr>
      </w:pPr>
      <w:r>
        <w:rPr>
          <w:rFonts w:hint="eastAsia" w:ascii="黑体" w:eastAsia="黑体"/>
          <w:b/>
          <w:sz w:val="30"/>
          <w:szCs w:val="30"/>
        </w:rPr>
        <w:t>二、基本原则</w:t>
      </w:r>
    </w:p>
    <w:p>
      <w:pPr>
        <w:spacing w:line="360" w:lineRule="auto"/>
        <w:rPr>
          <w:rFonts w:ascii="仿宋_GB2312" w:hAnsi="ˎ̥" w:eastAsia="仿宋_GB2312"/>
          <w:sz w:val="28"/>
          <w:szCs w:val="28"/>
        </w:rPr>
      </w:pPr>
      <w:r>
        <w:rPr>
          <w:rFonts w:hint="eastAsia" w:ascii="黑体" w:eastAsia="黑体"/>
          <w:b/>
          <w:sz w:val="30"/>
          <w:szCs w:val="30"/>
        </w:rPr>
        <w:t xml:space="preserve">   </w:t>
      </w:r>
      <w:r>
        <w:rPr>
          <w:rFonts w:hint="eastAsia" w:ascii="仿宋_GB2312" w:eastAsia="仿宋_GB2312"/>
          <w:b/>
          <w:sz w:val="28"/>
          <w:szCs w:val="28"/>
        </w:rPr>
        <w:t xml:space="preserve"> （一）</w:t>
      </w:r>
      <w:r>
        <w:rPr>
          <w:rFonts w:hint="eastAsia" w:ascii="仿宋_GB2312" w:hAnsi="ˎ̥" w:eastAsia="仿宋_GB2312"/>
          <w:b/>
          <w:sz w:val="28"/>
          <w:szCs w:val="28"/>
        </w:rPr>
        <w:t>民生导向，共建共享。</w:t>
      </w:r>
      <w:r>
        <w:rPr>
          <w:rFonts w:hint="eastAsia" w:ascii="仿宋_GB2312" w:hAnsi="ˎ̥" w:eastAsia="仿宋_GB2312"/>
          <w:sz w:val="28"/>
          <w:szCs w:val="28"/>
        </w:rPr>
        <w:t>坚持以人为本，以打造“民生城管”为目标，优化整合各类资源，重点探索、推进民生保障服务项目，推动城市管理向服务转变，不断提高公共服务的质量，满足人民不断增长的多元需求。提高城市管理的社会化水平，充分发挥居民主体作用，广泛调动辖区各类企业、社会团体和广大群众参与城市管理的自觉性和主动性，积极丰富和拓宽社会参与的方式和渠道，形成政府、社会、市民三者之间互相补充、互相促进的良好局面。</w:t>
      </w:r>
    </w:p>
    <w:p>
      <w:pPr>
        <w:spacing w:line="360" w:lineRule="auto"/>
        <w:ind w:firstLine="562" w:firstLineChars="200"/>
        <w:rPr>
          <w:rFonts w:ascii="仿宋_GB2312" w:hAnsi="ˎ̥" w:eastAsia="仿宋_GB2312"/>
          <w:sz w:val="28"/>
          <w:szCs w:val="28"/>
        </w:rPr>
      </w:pPr>
      <w:r>
        <w:rPr>
          <w:rFonts w:hint="eastAsia" w:ascii="仿宋_GB2312" w:hAnsi="ˎ̥" w:eastAsia="仿宋_GB2312"/>
          <w:b/>
          <w:sz w:val="28"/>
          <w:szCs w:val="28"/>
        </w:rPr>
        <w:t>（二）标杆引领，打造精品。</w:t>
      </w:r>
      <w:r>
        <w:rPr>
          <w:rFonts w:hint="eastAsia" w:ascii="仿宋_GB2312" w:hAnsi="ˎ̥" w:eastAsia="仿宋_GB2312"/>
          <w:sz w:val="28"/>
          <w:szCs w:val="28"/>
        </w:rPr>
        <w:t>坚持以世界先进城市中心城区为标杆，全方位比照和借鉴国际化城市概念、标准和内涵，积极对接国际先进理念和通行规则，制定与一流国际化中心城区相适应的城市管理战略目标及工作标准。吸收和借鉴国际、国内先进的城市管理经验，开展针对性的市容环境整治和高品味、高档次、高水平特色景观建设，营造一批深入人心、生命力强、标志性的城区景观亮点，打造能够代表中心城区的、具有福田特色的“城区名片”。</w:t>
      </w:r>
    </w:p>
    <w:p>
      <w:pPr>
        <w:spacing w:line="360" w:lineRule="auto"/>
        <w:ind w:firstLine="562" w:firstLineChars="200"/>
        <w:rPr>
          <w:rFonts w:ascii="仿宋_GB2312" w:hAnsi="ˎ̥" w:eastAsia="仿宋_GB2312"/>
          <w:sz w:val="28"/>
          <w:szCs w:val="28"/>
        </w:rPr>
      </w:pPr>
      <w:r>
        <w:rPr>
          <w:rFonts w:hint="eastAsia" w:ascii="仿宋_GB2312" w:hAnsi="ˎ̥" w:eastAsia="仿宋_GB2312"/>
          <w:b/>
          <w:sz w:val="28"/>
          <w:szCs w:val="28"/>
        </w:rPr>
        <w:t>（三）精细管理，法治保障。</w:t>
      </w:r>
      <w:r>
        <w:rPr>
          <w:rFonts w:hint="eastAsia" w:ascii="仿宋_GB2312" w:hAnsi="ˎ̥" w:eastAsia="仿宋_GB2312"/>
          <w:sz w:val="28"/>
          <w:szCs w:val="28"/>
        </w:rPr>
        <w:t xml:space="preserve"> 创新“大城管”管理模式，建立健全城市管理长效机制；依托网格化模式，推进智能管理。加强网格化管理平台建设，应用互联网、4G移动技术、图像智能分析技术等先进技术推进城市管理的信息化、数字化和智能化，实现城市管理的动态化、及时化和高效化，大幅提高城市管理效率。推进城市管理的标准化进程，建立科学量化的标准和可操作、易执行的作业程序，提高城市管理精细化水平。推进城市管理法规体系建设，规范城市管理执法行为，提高依法治理的能力和水平，率先打造“法治城管”。</w:t>
      </w:r>
    </w:p>
    <w:p>
      <w:pPr>
        <w:spacing w:line="360" w:lineRule="auto"/>
        <w:ind w:firstLine="562" w:firstLineChars="200"/>
        <w:rPr>
          <w:rFonts w:ascii="仿宋_GB2312" w:hAnsi="ˎ̥" w:eastAsia="仿宋_GB2312"/>
          <w:sz w:val="28"/>
          <w:szCs w:val="28"/>
        </w:rPr>
      </w:pPr>
      <w:r>
        <w:rPr>
          <w:rFonts w:hint="eastAsia" w:ascii="仿宋_GB2312" w:hAnsi="ˎ̥" w:eastAsia="仿宋_GB2312"/>
          <w:b/>
          <w:sz w:val="28"/>
          <w:szCs w:val="28"/>
        </w:rPr>
        <w:t>（四）生态优先，绿色发展。</w:t>
      </w:r>
      <w:r>
        <w:rPr>
          <w:rFonts w:hint="eastAsia" w:ascii="仿宋_GB2312" w:hAnsi="ˎ̥" w:eastAsia="仿宋_GB2312"/>
          <w:sz w:val="28"/>
          <w:szCs w:val="28"/>
        </w:rPr>
        <w:t>始终秉承宜居理念，将低碳发展、绿色增长作为城市管理建设的重点发展方向，积极推进生态绿化，扎实开展生态风景林、公园之城、立体绿化建设，不断提升道路绿化水平，打造植物园林式的城市绿化风景。积极开展中心城市圈绿化行动，建设一批低碳示范项目，提高绿色竞争力，为建设低碳生态城市奠定良好的基础。</w:t>
      </w:r>
    </w:p>
    <w:p>
      <w:pPr>
        <w:spacing w:line="360" w:lineRule="auto"/>
        <w:ind w:firstLine="602" w:firstLineChars="200"/>
        <w:rPr>
          <w:rFonts w:ascii="黑体" w:eastAsia="黑体"/>
          <w:b/>
          <w:sz w:val="30"/>
          <w:szCs w:val="30"/>
        </w:rPr>
      </w:pPr>
      <w:r>
        <w:rPr>
          <w:rFonts w:hint="eastAsia" w:ascii="黑体" w:eastAsia="黑体"/>
          <w:b/>
          <w:sz w:val="30"/>
          <w:szCs w:val="30"/>
        </w:rPr>
        <w:t>三、发展目标</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到2020年，全区“大城管”的管理体制和运行机制日臻完善，城市服务功能满足市民需求，资源得到高效合理利用；城市管理实现精细、长效、全覆盖，城市管理水平迈上新台阶，城市管理主要指标总体水平达到国内前列；公园绿地面积持续增加，绿道网络体系成熟完善，道路景观品质显著提升，建设形成现代化高标准的一流国际化中心城区市容环境。</w:t>
      </w:r>
    </w:p>
    <w:p>
      <w:pPr>
        <w:spacing w:line="360" w:lineRule="auto"/>
        <w:ind w:firstLine="560" w:firstLineChars="200"/>
        <w:rPr>
          <w:rFonts w:ascii="仿宋_GB2312" w:hAnsi="宋体" w:eastAsia="仿宋_GB2312"/>
          <w:sz w:val="28"/>
          <w:szCs w:val="28"/>
        </w:rPr>
      </w:pPr>
    </w:p>
    <w:p>
      <w:pPr>
        <w:spacing w:line="360" w:lineRule="auto"/>
        <w:jc w:val="center"/>
        <w:rPr>
          <w:rFonts w:ascii="黑体" w:hAnsi="宋体" w:eastAsia="黑体"/>
          <w:b/>
          <w:sz w:val="44"/>
          <w:szCs w:val="44"/>
        </w:rPr>
      </w:pPr>
      <w:r>
        <w:rPr>
          <w:rFonts w:hint="eastAsia" w:ascii="黑体" w:eastAsia="黑体"/>
          <w:b/>
          <w:sz w:val="44"/>
          <w:szCs w:val="44"/>
        </w:rPr>
        <w:t>第</w:t>
      </w:r>
      <w:r>
        <w:rPr>
          <w:rFonts w:hint="eastAsia" w:ascii="黑体" w:hAnsi="宋体" w:eastAsia="黑体"/>
          <w:b/>
          <w:sz w:val="44"/>
          <w:szCs w:val="44"/>
        </w:rPr>
        <w:t>三</w:t>
      </w:r>
      <w:r>
        <w:rPr>
          <w:rFonts w:hint="eastAsia" w:ascii="黑体" w:eastAsia="黑体"/>
          <w:b/>
          <w:sz w:val="44"/>
          <w:szCs w:val="44"/>
        </w:rPr>
        <w:t xml:space="preserve">部分  </w:t>
      </w:r>
      <w:r>
        <w:rPr>
          <w:rFonts w:hint="eastAsia" w:ascii="黑体" w:hAnsi="宋体" w:eastAsia="黑体"/>
          <w:b/>
          <w:sz w:val="44"/>
          <w:szCs w:val="44"/>
        </w:rPr>
        <w:t>主要任务和重点项目</w:t>
      </w:r>
    </w:p>
    <w:p>
      <w:pPr>
        <w:spacing w:line="240" w:lineRule="exact"/>
        <w:rPr>
          <w:rFonts w:ascii="黑体" w:eastAsia="黑体"/>
          <w:b/>
          <w:sz w:val="30"/>
          <w:szCs w:val="30"/>
        </w:rPr>
      </w:pPr>
    </w:p>
    <w:p>
      <w:pPr>
        <w:spacing w:line="360" w:lineRule="auto"/>
        <w:ind w:firstLine="602" w:firstLineChars="200"/>
        <w:rPr>
          <w:rFonts w:ascii="黑体" w:eastAsia="黑体"/>
          <w:b/>
          <w:sz w:val="30"/>
          <w:szCs w:val="30"/>
        </w:rPr>
      </w:pPr>
      <w:r>
        <w:rPr>
          <w:rFonts w:hint="eastAsia" w:ascii="黑体" w:eastAsia="黑体"/>
          <w:b/>
          <w:sz w:val="30"/>
          <w:szCs w:val="30"/>
        </w:rPr>
        <w:t>一、突出质量提升,促进环卫事业更高水平发展</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（一）全面提升清扫保洁市场化专业化水平。</w:t>
      </w:r>
      <w:r>
        <w:rPr>
          <w:rFonts w:hint="eastAsia" w:ascii="仿宋_GB2312" w:eastAsia="仿宋_GB2312"/>
          <w:sz w:val="28"/>
          <w:szCs w:val="28"/>
        </w:rPr>
        <w:t>对清扫保洁服务企业实施准入制度，提高行业素质，规范市场秩序，确保环卫作业专业化率达到100%。建立环卫质量评价体系，健全环卫作业现场督查、质量考评、公众参与、社会监督、信息报告等制度，加强环卫作业过程监管，完善经费按质核拨制度，实行扣分扣款和考评不达标退出机制。全面推进环卫机械化清扫作业，提升环卫作业现代化水平。进一步提高环卫工人的福利待遇，改善一线环卫工人的工作环境，提高环卫队伍综合素质，优化环卫队伍结构。</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（二）加强环卫基础设施升级和运营管理。</w:t>
      </w:r>
      <w:r>
        <w:rPr>
          <w:rFonts w:hint="eastAsia" w:ascii="仿宋_GB2312" w:eastAsia="仿宋_GB2312"/>
          <w:sz w:val="28"/>
          <w:szCs w:val="28"/>
        </w:rPr>
        <w:t>对具备条件的市政公厕进行艺术化装饰和处理，加强公厕指引和日常管理，配套无障碍通道、母婴换洗台等人性化设施；对综合市场、加油站等公共场所不达标的社会公厕进行升级改造，并加强监管，提高城区公厕卫生与服务标准。对辖区市政垃圾转运站进行升级改造，增设站点除臭、高压冲洗、隔音减噪、提高站点垃圾处理能力。按照“企业购置压缩机运输设备承包运营，政府负责站点土建维护更新”的模式，将城中村、工业区内垃圾转运站全部纳入市政管理范畴，实行市场化、专业化、规范化管理。</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（三）巩固提升生活垃圾全过程密闭收运质量。</w:t>
      </w:r>
      <w:r>
        <w:rPr>
          <w:rFonts w:hint="eastAsia" w:ascii="仿宋_GB2312" w:eastAsia="仿宋_GB2312"/>
          <w:sz w:val="28"/>
          <w:szCs w:val="28"/>
        </w:rPr>
        <w:t>加大财政投入，继续实施垃圾密闭进站减免费政策，扩大老旧住宅小区生活垃圾密闭收运政策扶持范围，配置密闭垃圾桶、升级改造垃圾屋（池）。规范物业单位及垃圾清运单位垃圾收集点、垃圾收集工具和运输车辆的日常管理，加强执法查处，坚决杜绝垃圾裸露、敞开式收运、沿途洒漏等污染现象。进一步完善工作机制，发挥街道、社区、物业管理处和业主委员会等基层组织在推进生活垃圾密闭收运工作中的主导作用，并纳入日常监督考核范围，确保生活垃圾密闭化收集率达到100%。</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（四）持续增强辖区市民爱护环境卫生意识。</w:t>
      </w:r>
      <w:r>
        <w:rPr>
          <w:rFonts w:hint="eastAsia" w:ascii="仿宋_GB2312" w:eastAsia="仿宋_GB2312"/>
          <w:sz w:val="28"/>
          <w:szCs w:val="28"/>
        </w:rPr>
        <w:t>深入开展“垃圾不落地，深圳更美丽”行动，加强宣传教育和规劝引导，推广街区文明“商家自治”，创新执法教育手段，在商业繁华区、主要公共场所、公交上落站和主要路段，对行人随地乱丢乱吐、商家未落实卫生管理责任等行为实施处罚，切实提升福田环境卫生水平和城市文明程度。</w:t>
      </w:r>
    </w:p>
    <w:p>
      <w:pPr>
        <w:spacing w:line="360" w:lineRule="auto"/>
        <w:ind w:firstLine="602" w:firstLineChars="200"/>
        <w:rPr>
          <w:rFonts w:ascii="黑体" w:eastAsia="黑体"/>
          <w:b/>
          <w:sz w:val="30"/>
          <w:szCs w:val="30"/>
        </w:rPr>
      </w:pPr>
      <w:r>
        <w:rPr>
          <w:rFonts w:hint="eastAsia" w:ascii="黑体" w:eastAsia="黑体"/>
          <w:b/>
          <w:sz w:val="30"/>
          <w:szCs w:val="30"/>
        </w:rPr>
        <w:t>二、坚持标杆引领，打造更加宜居的花园城区</w:t>
      </w:r>
    </w:p>
    <w:p>
      <w:pPr>
        <w:spacing w:line="360" w:lineRule="auto"/>
        <w:ind w:firstLine="562" w:firstLineChars="200"/>
        <w:rPr>
          <w:rFonts w:ascii="仿宋_GB2312" w:hAnsi="宋体" w:eastAsia="仿宋_GB2312" w:cs="宋体"/>
          <w:kern w:val="0"/>
          <w:sz w:val="28"/>
          <w:szCs w:val="28"/>
        </w:rPr>
      </w:pPr>
      <w:r>
        <w:rPr>
          <w:rFonts w:hint="eastAsia" w:ascii="仿宋_GB2312" w:hAnsi="宋体" w:eastAsia="仿宋_GB2312"/>
          <w:b/>
          <w:sz w:val="28"/>
          <w:szCs w:val="28"/>
        </w:rPr>
        <w:t>（一）深化“百园福田”规划和建设</w:t>
      </w:r>
      <w:r>
        <w:rPr>
          <w:rFonts w:hint="eastAsia" w:ascii="仿宋_GB2312" w:hAnsi="宋体" w:eastAsia="仿宋_GB2312" w:cs="宋体"/>
          <w:b/>
          <w:kern w:val="0"/>
          <w:sz w:val="28"/>
          <w:szCs w:val="28"/>
        </w:rPr>
        <w:t>。</w:t>
      </w:r>
      <w:r>
        <w:rPr>
          <w:rFonts w:hint="eastAsia" w:ascii="仿宋_GB2312" w:hAnsi="宋体" w:eastAsia="仿宋_GB2312" w:cs="宋体"/>
          <w:kern w:val="0"/>
          <w:sz w:val="28"/>
          <w:szCs w:val="28"/>
        </w:rPr>
        <w:t>对全区街头闲置地、绿化空地、封闭绿化带等进行调研梳理，优化绿地结构、功能和空间布局，按“一园一主题、一园一特色”的思路每年新建或改造2个社区公园（道路休闲公园带），完成香蜜公园建设，到2020年辖区人均享有公园面积达7.06平米，并探索在区属市政公园内试点公园管理模式创新，提高公园服务水平。进一步对全区现有100余公园进行系统性规划，分批开展实体更新改造和功能优化，并通过绿道贯通、地铁复绿、河流廊道的连接，形成市政公园、社区公园、都市公园带相结合、分布均匀、景观性与生态型并存的公园体系。</w:t>
      </w:r>
    </w:p>
    <w:p>
      <w:pPr>
        <w:spacing w:line="360" w:lineRule="auto"/>
        <w:ind w:firstLine="562" w:firstLineChars="200"/>
        <w:rPr>
          <w:rFonts w:ascii="仿宋_GB2312" w:hAnsi="宋体" w:eastAsia="仿宋_GB2312" w:cs="宋体"/>
          <w:kern w:val="0"/>
          <w:sz w:val="28"/>
          <w:szCs w:val="28"/>
        </w:rPr>
      </w:pPr>
      <w:r>
        <w:rPr>
          <w:rFonts w:hint="eastAsia" w:ascii="仿宋_GB2312" w:hAnsi="宋体" w:eastAsia="仿宋_GB2312" w:cs="宋体"/>
          <w:b/>
          <w:kern w:val="0"/>
          <w:sz w:val="28"/>
          <w:szCs w:val="28"/>
        </w:rPr>
        <w:t>（二）构建舒适便捷的绿色慢行系统。</w:t>
      </w:r>
      <w:r>
        <w:rPr>
          <w:rFonts w:hint="eastAsia" w:ascii="仿宋_GB2312" w:hAnsi="宋体" w:eastAsia="仿宋_GB2312" w:cs="宋体"/>
          <w:kern w:val="0"/>
          <w:sz w:val="28"/>
          <w:szCs w:val="28"/>
        </w:rPr>
        <w:t>完成福田中心区周边5公里范围慢行系统改造，并借鉴哥本哈根、纽约等先进城市经验，对全区慢行系统进行整体性规划，建立慢行接驳通道体系、多样化的立体步行系统、自行车的快捷通道体系等，初步建成高品质的</w:t>
      </w:r>
      <w:r>
        <w:rPr>
          <w:rFonts w:hint="eastAsia" w:ascii="仿宋_GB2312" w:hAnsi="宋体" w:eastAsia="仿宋_GB2312" w:cs="宋体"/>
          <w:bCs/>
          <w:kern w:val="0"/>
          <w:sz w:val="28"/>
          <w:szCs w:val="28"/>
        </w:rPr>
        <w:t>“公交+步行+自行车”的</w:t>
      </w:r>
      <w:r>
        <w:rPr>
          <w:rFonts w:hint="eastAsia" w:ascii="仿宋_GB2312" w:hAnsi="宋体" w:eastAsia="仿宋_GB2312" w:cs="宋体"/>
          <w:kern w:val="0"/>
          <w:sz w:val="28"/>
          <w:szCs w:val="28"/>
        </w:rPr>
        <w:t>慢行城区。全面贯通辖区绿道网络，通过借道画线、增加标识、新建路段等形式对辖区城市绿道、社区绿道、郊野绿道进行连接，并以绿道为廊道将公园、绿地、重要节点、河流等城区生态资源进一步整合，充分挖掘历史文化内涵，打造一批主题突出、特色鲜明的绿道，提高绿道休闲品质。</w:t>
      </w:r>
    </w:p>
    <w:p>
      <w:pPr>
        <w:spacing w:line="360" w:lineRule="auto"/>
        <w:ind w:firstLine="557" w:firstLineChars="198"/>
        <w:rPr>
          <w:rFonts w:ascii="仿宋_GB2312" w:eastAsia="仿宋_GB2312"/>
          <w:sz w:val="28"/>
          <w:szCs w:val="28"/>
        </w:rPr>
      </w:pPr>
      <w:r>
        <w:rPr>
          <w:rFonts w:hint="eastAsia" w:ascii="仿宋_GB2312" w:hAnsi="宋体" w:eastAsia="仿宋_GB2312"/>
          <w:b/>
          <w:sz w:val="28"/>
          <w:szCs w:val="28"/>
        </w:rPr>
        <w:t>（三）打造精品特色的全景立体花园城区</w:t>
      </w:r>
      <w:r>
        <w:rPr>
          <w:rFonts w:hint="eastAsia" w:hAnsi="宋体"/>
        </w:rPr>
        <w:t>。</w:t>
      </w:r>
      <w:r>
        <w:rPr>
          <w:rFonts w:ascii="仿宋_GB2312" w:eastAsia="仿宋_GB2312"/>
          <w:sz w:val="28"/>
          <w:szCs w:val="28"/>
        </w:rPr>
        <w:t>植树添绿、空中增绿、见缝插绿</w:t>
      </w:r>
      <w:r>
        <w:rPr>
          <w:rFonts w:hint="eastAsia" w:ascii="仿宋_GB2312" w:eastAsia="仿宋_GB2312"/>
          <w:sz w:val="28"/>
          <w:szCs w:val="28"/>
        </w:rPr>
        <w:t>、</w:t>
      </w:r>
      <w:r>
        <w:rPr>
          <w:rFonts w:ascii="仿宋_GB2312" w:eastAsia="仿宋_GB2312"/>
          <w:sz w:val="28"/>
          <w:szCs w:val="28"/>
        </w:rPr>
        <w:t>提升绿量</w:t>
      </w:r>
      <w:r>
        <w:rPr>
          <w:rFonts w:hint="eastAsia" w:ascii="仿宋_GB2312" w:eastAsia="仿宋_GB2312"/>
          <w:sz w:val="28"/>
          <w:szCs w:val="28"/>
        </w:rPr>
        <w:t>，建设一批体现一流国际化中心城区特色的园林绿化精品。优化道路绿化景观，对滨河路等道路进行绿化提升，因地制宜，每年完成1-2条景观大道的改造和提升；全面完成地铁复绿工作，建设街头园林小品，提升城市景观品位；全面整治黄土裸露，黄土及时复绿率达100%；加强行道树的抚育管理，到2020年主城区林荫路覆盖率提升到98%，使城市道路成为绿色长廊。大力推广立体绿化，编制福田区立体绿化规划纲要，每年完成2个立体绿化示范项目，并通过引导居民参与阳台美化、企业开展屋顶绿化等形式，力争到2020年辖区立体绿化率达到8%，将辖区打造成为从地面到空中全景立体花园城区。</w:t>
      </w:r>
    </w:p>
    <w:p>
      <w:pPr>
        <w:spacing w:line="360" w:lineRule="auto"/>
        <w:ind w:firstLine="602" w:firstLineChars="200"/>
        <w:rPr>
          <w:rFonts w:ascii="黑体" w:eastAsia="黑体"/>
          <w:b/>
          <w:sz w:val="30"/>
          <w:szCs w:val="30"/>
        </w:rPr>
      </w:pPr>
      <w:r>
        <w:rPr>
          <w:rFonts w:hint="eastAsia" w:ascii="黑体" w:eastAsia="黑体"/>
          <w:b/>
          <w:sz w:val="30"/>
          <w:szCs w:val="30"/>
        </w:rPr>
        <w:t>三、强化综合整治，确保整洁市容环境“里外如一”</w:t>
      </w:r>
    </w:p>
    <w:p>
      <w:pPr>
        <w:spacing w:line="360" w:lineRule="auto"/>
        <w:ind w:right="-328" w:rightChars="-156" w:firstLine="562" w:firstLineChars="200"/>
        <w:rPr>
          <w:rFonts w:ascii="仿宋_GB2312" w:hAnsi="宋体" w:eastAsia="仿宋_GB2312"/>
          <w:sz w:val="28"/>
          <w:szCs w:val="28"/>
        </w:rPr>
      </w:pPr>
      <w:r>
        <w:rPr>
          <w:rFonts w:hint="eastAsia" w:ascii="仿宋_GB2312" w:hAnsi="宋体" w:eastAsia="仿宋_GB2312"/>
          <w:b/>
          <w:sz w:val="28"/>
          <w:szCs w:val="28"/>
        </w:rPr>
        <w:t>（一）开展城中村环境提升“五化”整治。</w:t>
      </w:r>
      <w:r>
        <w:rPr>
          <w:rFonts w:hint="eastAsia" w:ascii="仿宋_GB2312" w:hAnsi="宋体" w:eastAsia="仿宋_GB2312"/>
          <w:sz w:val="28"/>
          <w:szCs w:val="28"/>
        </w:rPr>
        <w:t>统筹协调相关职能部门、街道申请专项经费，分批次对城中村内建筑立面、道路、绿化、给水管网、环卫设施等进行综合整治，2020年完成全区15个城中村的“净化、文化、绿化、美化、硬化”提升，彻底消除城中村脏乱差问题，全面改善城中村市容环境、设施水平和人文气息，提升城中村综合环境品质。</w:t>
      </w:r>
    </w:p>
    <w:p>
      <w:pPr>
        <w:ind w:firstLine="562" w:firstLineChars="200"/>
        <w:rPr>
          <w:rFonts w:ascii="仿宋_GB2312" w:hAnsi="宋体" w:eastAsia="仿宋_GB2312"/>
          <w:sz w:val="28"/>
          <w:szCs w:val="28"/>
        </w:rPr>
      </w:pPr>
      <w:r>
        <w:rPr>
          <w:rFonts w:hint="eastAsia" w:ascii="仿宋_GB2312" w:hAnsi="宋体" w:eastAsia="仿宋_GB2312"/>
          <w:b/>
          <w:sz w:val="28"/>
          <w:szCs w:val="28"/>
        </w:rPr>
        <w:t>（二）打造福田特色城市视觉系统。</w:t>
      </w:r>
      <w:r>
        <w:rPr>
          <w:rFonts w:hint="eastAsia" w:ascii="仿宋_GB2312" w:hAnsi="宋体" w:eastAsia="仿宋_GB2312"/>
          <w:sz w:val="28"/>
          <w:szCs w:val="28"/>
        </w:rPr>
        <w:t>开展城市视觉系统规划，对城区建筑单体及景观节点的户外广告、建筑立面、景观构筑、夜景照明进行综合创意设计，2016年全面完成全区户外广告总体规划、主要地段的控制性规划和重要节点位置修建性规划，2020年全面完成重点区域、重要节点的城市视觉系统打造工程，形成更多具备世界水准、体现中国风格、深圳特色的城市风景线。推动户外广告审批制向备案制转变，加强户外广告安全监管，探索户外广告安全监测规则，优化应急处置流程，为安全防范提供保障。</w:t>
      </w:r>
    </w:p>
    <w:p>
      <w:pPr>
        <w:spacing w:line="360" w:lineRule="auto"/>
        <w:ind w:right="-328" w:rightChars="-156" w:firstLine="562" w:firstLineChars="200"/>
        <w:rPr>
          <w:rFonts w:ascii="仿宋_GB2312" w:hAnsi="宋体" w:eastAsia="仿宋_GB2312"/>
          <w:sz w:val="28"/>
          <w:szCs w:val="28"/>
        </w:rPr>
      </w:pPr>
      <w:r>
        <w:rPr>
          <w:rFonts w:hint="eastAsia" w:ascii="仿宋_GB2312" w:hAnsi="宋体" w:eastAsia="仿宋_GB2312"/>
          <w:b/>
          <w:sz w:val="28"/>
          <w:szCs w:val="28"/>
        </w:rPr>
        <w:t>（三）打造有序规范的城区街面市容。</w:t>
      </w:r>
      <w:r>
        <w:rPr>
          <w:rFonts w:hint="eastAsia" w:ascii="仿宋_GB2312" w:hAnsi="宋体" w:eastAsia="仿宋_GB2312"/>
          <w:sz w:val="28"/>
          <w:szCs w:val="28"/>
        </w:rPr>
        <w:t>按照一类区、二类区、三类区标准规范城区街面市容管理，在巩固一类区整治成果的基础上，按照有序、可控的原则，完成二类区和三类区整治，并不断扩大一类区的覆盖面，使一类区管辖范围达到70%。探索在合适路段设置摆卖疏导点，推广便民张贴栏、废品定车定时定点回收等市容管控措施，以堵疏结合方式治理城市顽疾。规范城市街道家具管理和设置，对电力、通信、绿化、消防、环卫、道路照明、道路隔音屏、公交站台、生活服务、文体休闲等各类街道家具进行全面排查，实施整体规划和艺术化设计，出台监管、维护、更新等长效管理措施，打造整洁优美、文明有序的城市街道家具景观容貌。</w:t>
      </w:r>
    </w:p>
    <w:p>
      <w:pPr>
        <w:spacing w:line="360" w:lineRule="auto"/>
        <w:ind w:right="-328" w:rightChars="-156" w:firstLine="562" w:firstLineChars="200"/>
        <w:rPr>
          <w:rFonts w:ascii="仿宋_GB2312" w:hAnsi="宋体" w:eastAsia="仿宋_GB2312"/>
          <w:sz w:val="28"/>
          <w:szCs w:val="28"/>
        </w:rPr>
      </w:pPr>
      <w:r>
        <w:rPr>
          <w:rFonts w:hint="eastAsia" w:ascii="仿宋_GB2312" w:hAnsi="宋体" w:eastAsia="仿宋_GB2312"/>
          <w:b/>
          <w:sz w:val="28"/>
          <w:szCs w:val="28"/>
        </w:rPr>
        <w:t>（四）进一步健全犬只管理机制。</w:t>
      </w:r>
      <w:r>
        <w:rPr>
          <w:rFonts w:hint="eastAsia" w:ascii="仿宋_GB2312" w:hAnsi="宋体" w:eastAsia="仿宋_GB2312"/>
          <w:sz w:val="28"/>
          <w:szCs w:val="28"/>
        </w:rPr>
        <w:t>继续实行犬只一站式办证服务，进一步规范养犬流程。升级完善犬只动态管理系统，运用信息化手段严格查处养烈性犬、无证养犬、犬只扰民等违法行为。引入社会机构提供流浪犬捕捉、犬只收容、无害化处理等服务。探索成立社区养犬自治组织，深入小区开展文明养犬宣传，</w:t>
      </w:r>
      <w:r>
        <w:rPr>
          <w:rFonts w:hint="eastAsia" w:ascii="仿宋_GB2312" w:eastAsia="仿宋_GB2312"/>
          <w:sz w:val="28"/>
          <w:szCs w:val="28"/>
        </w:rPr>
        <w:t>逐年在福田区500个小区设置文明养犬宣传箱或宣传引导牌，</w:t>
      </w:r>
      <w:r>
        <w:rPr>
          <w:rFonts w:hint="eastAsia" w:ascii="仿宋_GB2312" w:hAnsi="宋体" w:eastAsia="仿宋_GB2312"/>
          <w:sz w:val="28"/>
          <w:szCs w:val="28"/>
        </w:rPr>
        <w:t>营造文明养犬的良好氛围。</w:t>
      </w:r>
    </w:p>
    <w:p>
      <w:pPr>
        <w:spacing w:line="360" w:lineRule="auto"/>
        <w:ind w:firstLine="602" w:firstLineChars="200"/>
        <w:rPr>
          <w:rFonts w:ascii="黑体" w:eastAsia="黑体"/>
          <w:b/>
          <w:sz w:val="30"/>
          <w:szCs w:val="30"/>
        </w:rPr>
      </w:pPr>
      <w:r>
        <w:rPr>
          <w:rFonts w:hint="eastAsia" w:ascii="黑体" w:eastAsia="黑体"/>
          <w:b/>
          <w:sz w:val="30"/>
          <w:szCs w:val="30"/>
        </w:rPr>
        <w:t>四、创新机制方法，构建协同高效城管综合执法</w:t>
      </w:r>
    </w:p>
    <w:p>
      <w:pPr>
        <w:spacing w:line="360" w:lineRule="auto"/>
        <w:ind w:firstLine="562" w:firstLineChars="200"/>
        <w:rPr>
          <w:rFonts w:ascii="仿宋_GB2312" w:hAnsi="ˎ̥" w:eastAsia="仿宋_GB2312"/>
          <w:sz w:val="28"/>
          <w:szCs w:val="28"/>
        </w:rPr>
      </w:pPr>
      <w:r>
        <w:rPr>
          <w:rFonts w:hint="eastAsia" w:ascii="仿宋_GB2312" w:hAnsi="ˎ̥" w:eastAsia="仿宋_GB2312"/>
          <w:b/>
          <w:sz w:val="28"/>
          <w:szCs w:val="28"/>
        </w:rPr>
        <w:t>（一）完善执法“标准化”管理体系。</w:t>
      </w:r>
      <w:r>
        <w:rPr>
          <w:rFonts w:hint="eastAsia" w:ascii="仿宋_GB2312" w:hAnsi="ˎ̥" w:eastAsia="仿宋_GB2312"/>
          <w:sz w:val="28"/>
          <w:szCs w:val="28"/>
        </w:rPr>
        <w:t>建立执法队伍标准化管理制度，对街道执法队的执勤值班、车辆巡查、设备管理、执法行为、着装形象等方面进行全面规范，树立规范、严谨、文明的执法队伍形象。对综合执法自由裁量标准进行定格化处理，并出台执法重点领域专项指引，保证处罚的公正性，避免随意执法行为的发生，实现执法行为标准化管理，提升城管执法法治化水平。</w:t>
      </w:r>
    </w:p>
    <w:p>
      <w:pPr>
        <w:spacing w:line="360" w:lineRule="auto"/>
        <w:ind w:firstLine="562" w:firstLineChars="200"/>
        <w:rPr>
          <w:rFonts w:ascii="仿宋_GB2312" w:hAnsi="ˎ̥" w:eastAsia="仿宋_GB2312"/>
          <w:sz w:val="28"/>
          <w:szCs w:val="28"/>
        </w:rPr>
      </w:pPr>
      <w:r>
        <w:rPr>
          <w:rFonts w:hint="eastAsia" w:ascii="仿宋_GB2312" w:hAnsi="ˎ̥" w:eastAsia="仿宋_GB2312"/>
          <w:b/>
          <w:sz w:val="28"/>
          <w:szCs w:val="28"/>
        </w:rPr>
        <w:t>（二）构建多元协同执法新模式。</w:t>
      </w:r>
      <w:r>
        <w:rPr>
          <w:rFonts w:hint="eastAsia" w:ascii="仿宋_GB2312" w:hAnsi="ˎ̥" w:eastAsia="仿宋_GB2312"/>
          <w:sz w:val="28"/>
          <w:szCs w:val="28"/>
        </w:rPr>
        <w:t>深入推动城管、公安“三联”机制，完善例会制度、信息报送制度和出勤出警评价制度，加强对市容环境重大违法行为的执法保障和法律支持，打造城管、公安“三联”机制升级版。畅通城管执法申请法院强制执行通道，执行结果面向社会通报。完善部门协同效应，进一步明确专业职能部门与城管执法部门双方信息抄送、案件移交、协作机制的操作细则，将审批许可和行政处罚有机结合起来，从制度上机制上促进双方协作，形成一个有效的管理系统。</w:t>
      </w:r>
    </w:p>
    <w:p>
      <w:pPr>
        <w:spacing w:line="360" w:lineRule="auto"/>
        <w:ind w:firstLine="562" w:firstLineChars="200"/>
        <w:rPr>
          <w:rFonts w:ascii="仿宋_GB2312" w:hAnsi="ˎ̥" w:eastAsia="仿宋_GB2312"/>
          <w:sz w:val="28"/>
          <w:szCs w:val="28"/>
        </w:rPr>
      </w:pPr>
      <w:r>
        <w:rPr>
          <w:rFonts w:hint="eastAsia" w:ascii="仿宋_GB2312" w:hAnsi="ˎ̥" w:eastAsia="仿宋_GB2312"/>
          <w:b/>
          <w:sz w:val="28"/>
          <w:szCs w:val="28"/>
        </w:rPr>
        <w:t>（三）强化执法全过程监督。</w:t>
      </w:r>
      <w:r>
        <w:rPr>
          <w:rFonts w:hint="eastAsia" w:ascii="仿宋_GB2312" w:hAnsi="ˎ̥" w:eastAsia="仿宋_GB2312"/>
          <w:sz w:val="28"/>
          <w:szCs w:val="28"/>
        </w:rPr>
        <w:t>严格落实执法责任制和责任追究机制，强化对执法人员履行职责情况的监督、评议，提高内部执法监督水平。建立执法人员定期交流轮岗机制，加强与纪检监察部门的配合，严肃查处内部违规违纪案件。充分利用数字化综合执法系统的功能，大力推行网上办案，固化执法案件受理、立案、调查取证、查处、送达等各个执法流程，实现执法全过程监督。建立执法投诉和反馈机制，主动接受社会监督。</w:t>
      </w:r>
    </w:p>
    <w:p>
      <w:pPr>
        <w:spacing w:line="360" w:lineRule="auto"/>
        <w:ind w:firstLine="602" w:firstLineChars="200"/>
        <w:rPr>
          <w:rFonts w:ascii="黑体" w:eastAsia="黑体"/>
          <w:b/>
          <w:sz w:val="30"/>
          <w:szCs w:val="30"/>
        </w:rPr>
      </w:pPr>
      <w:r>
        <w:rPr>
          <w:rFonts w:hint="eastAsia" w:ascii="黑体" w:eastAsia="黑体"/>
          <w:b/>
          <w:sz w:val="30"/>
          <w:szCs w:val="30"/>
        </w:rPr>
        <w:t>五、深化组织统筹，引领爱国卫生运动新常态</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（一）积极创建国家卫生城市、省市卫生村。</w:t>
      </w:r>
      <w:r>
        <w:rPr>
          <w:rFonts w:hint="eastAsia" w:ascii="仿宋_GB2312" w:eastAsia="仿宋_GB2312"/>
          <w:sz w:val="28"/>
          <w:szCs w:val="28"/>
        </w:rPr>
        <w:t>通过奖励机制调动15个股份公司的工作积极性，全面推动我区卫生村的创建和巩固工作，确保我市“国家卫生城市”创建成果巩固工作复审的顺利通过， 2020年全区创建“深圳市卫生村”和“广东省卫生村”的数量分别达到100%和75%。</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（二）加大投入扩大爱国卫生惠民效应。</w:t>
      </w:r>
      <w:r>
        <w:rPr>
          <w:rFonts w:hint="eastAsia" w:ascii="仿宋_GB2312" w:eastAsia="仿宋_GB2312"/>
          <w:sz w:val="28"/>
          <w:szCs w:val="28"/>
        </w:rPr>
        <w:t>推动实施老旧住宅区除“四害”消杀扶持政策，有效降低老旧住宅区的病媒生物密度，实现爱卫消杀全覆盖。引进一批实力强、信誉高的企业提供公共场所除“四害”消杀服务，提升消杀专业水平。定期更新和补充“四害”防治基础设施，每年补充一次，三年全面更新，并定期深入辖区单位、小区对“四害”防治设施进行检查，确保“四害”防治设施能有效使用。严格落实除“四害”消杀质量监督管理办法，2015年底我区病媒生物密度达到“病媒生物密度控制水平”系列国家标准中规定的C级以上，2017年底达到B级以上，2020年底达到A级。</w:t>
      </w:r>
    </w:p>
    <w:p>
      <w:pPr>
        <w:spacing w:line="360" w:lineRule="auto"/>
        <w:ind w:firstLine="562" w:firstLineChars="200"/>
        <w:rPr>
          <w:rFonts w:ascii="仿宋_GB2312" w:eastAsia="仿宋_GB2312"/>
          <w:sz w:val="28"/>
          <w:szCs w:val="28"/>
        </w:rPr>
      </w:pPr>
      <w:r>
        <w:rPr>
          <w:rFonts w:hint="eastAsia" w:ascii="仿宋_GB2312" w:eastAsia="仿宋_GB2312"/>
          <w:b/>
          <w:sz w:val="28"/>
          <w:szCs w:val="28"/>
        </w:rPr>
        <w:t>（三）建立“四害”防治长效机制。</w:t>
      </w:r>
      <w:r>
        <w:rPr>
          <w:rFonts w:hint="eastAsia" w:ascii="仿宋_GB2312" w:eastAsia="仿宋_GB2312"/>
          <w:sz w:val="28"/>
          <w:szCs w:val="28"/>
        </w:rPr>
        <w:t>建立“四害”密度常态化监测机制，为“四害”防治工作提供科学的数据。抓好“四害”常态化消杀工作，针对不同季节的“四害”繁殖规律和重要节假日，统一组织辖区尤其是公共场所等重点地区的“四害”消杀工作，把“四害”密度控制在低密度指标内。完善除“四害”应急管理机制，充分发挥爱国卫生领导小组的作用，调动爱卫相关责任单位参与“四害”防治，积极应对突发事件，切断有害病媒生物传播，保护辖区居民健康安全。</w:t>
      </w:r>
    </w:p>
    <w:p>
      <w:pPr>
        <w:spacing w:line="360" w:lineRule="auto"/>
        <w:ind w:firstLine="602" w:firstLineChars="200"/>
        <w:rPr>
          <w:rFonts w:ascii="黑体" w:eastAsia="黑体"/>
          <w:b/>
          <w:sz w:val="30"/>
          <w:szCs w:val="30"/>
        </w:rPr>
      </w:pPr>
      <w:r>
        <w:rPr>
          <w:rFonts w:hint="eastAsia" w:ascii="黑体" w:eastAsia="黑体"/>
          <w:b/>
          <w:sz w:val="30"/>
          <w:szCs w:val="30"/>
        </w:rPr>
        <w:t>六、落实源头预防，维护森林资源安全“零事故”</w:t>
      </w:r>
    </w:p>
    <w:p>
      <w:pPr>
        <w:spacing w:line="360" w:lineRule="auto"/>
        <w:ind w:firstLine="557" w:firstLineChars="198"/>
        <w:rPr>
          <w:rFonts w:ascii="仿宋_GB2312" w:hAnsi="宋体" w:eastAsia="仿宋_GB2312"/>
          <w:sz w:val="28"/>
          <w:szCs w:val="28"/>
        </w:rPr>
      </w:pPr>
      <w:r>
        <w:rPr>
          <w:rFonts w:hint="eastAsia" w:ascii="仿宋_GB2312" w:hAnsi="宋体" w:eastAsia="仿宋_GB2312"/>
          <w:b/>
          <w:sz w:val="28"/>
          <w:szCs w:val="28"/>
        </w:rPr>
        <w:t>（一）加强</w:t>
      </w:r>
      <w:r>
        <w:rPr>
          <w:rFonts w:hint="eastAsia" w:ascii="仿宋_GB2312" w:eastAsia="仿宋_GB2312"/>
          <w:b/>
          <w:sz w:val="28"/>
          <w:szCs w:val="28"/>
        </w:rPr>
        <w:t>林业有害生物防治工作。</w:t>
      </w:r>
      <w:r>
        <w:rPr>
          <w:rFonts w:hint="eastAsia" w:ascii="仿宋_GB2312" w:eastAsia="仿宋_GB2312"/>
          <w:sz w:val="28"/>
          <w:szCs w:val="28"/>
        </w:rPr>
        <w:t>积极开展薇甘菊防治，重点清除分布在梅林、香蜜湖、华富街道办辖区内的薇甘菊植株，加强其它林业有害生物的监测和防治，保护辖区生态安全和生物的多样性。</w:t>
      </w:r>
    </w:p>
    <w:p>
      <w:pPr>
        <w:ind w:firstLine="562" w:firstLineChars="200"/>
        <w:rPr>
          <w:rFonts w:ascii="仿宋_GB2312" w:eastAsia="仿宋_GB2312"/>
          <w:sz w:val="28"/>
          <w:szCs w:val="28"/>
        </w:rPr>
      </w:pPr>
      <w:r>
        <w:rPr>
          <w:rFonts w:hint="eastAsia" w:ascii="仿宋_GB2312" w:hAnsi="宋体" w:eastAsia="仿宋_GB2312"/>
          <w:b/>
          <w:sz w:val="28"/>
          <w:szCs w:val="28"/>
        </w:rPr>
        <w:t>（二）</w:t>
      </w:r>
      <w:r>
        <w:rPr>
          <w:rFonts w:hint="eastAsia" w:ascii="仿宋_GB2312" w:eastAsia="仿宋_GB2312"/>
          <w:b/>
          <w:sz w:val="28"/>
          <w:szCs w:val="28"/>
        </w:rPr>
        <w:t>做好林政管理，保护林业生态安全。</w:t>
      </w:r>
      <w:r>
        <w:rPr>
          <w:rFonts w:hint="eastAsia" w:ascii="仿宋_GB2312" w:eastAsia="仿宋_GB2312"/>
          <w:sz w:val="28"/>
          <w:szCs w:val="28"/>
        </w:rPr>
        <w:t>积极推进福田区林业生态红线划定工作，严格按照国家、省、市要求保护辖区林业生态安全。</w:t>
      </w:r>
    </w:p>
    <w:p>
      <w:pPr>
        <w:spacing w:line="360" w:lineRule="auto"/>
        <w:ind w:firstLine="551" w:firstLineChars="196"/>
        <w:rPr>
          <w:rFonts w:ascii="仿宋_GB2312" w:eastAsia="仿宋_GB2312"/>
          <w:sz w:val="28"/>
          <w:szCs w:val="28"/>
        </w:rPr>
      </w:pPr>
      <w:r>
        <w:rPr>
          <w:rFonts w:hint="eastAsia" w:ascii="仿宋_GB2312" w:hAnsi="宋体" w:eastAsia="仿宋_GB2312"/>
          <w:b/>
          <w:sz w:val="28"/>
          <w:szCs w:val="28"/>
        </w:rPr>
        <w:t>（三）</w:t>
      </w:r>
      <w:r>
        <w:rPr>
          <w:rFonts w:hint="eastAsia" w:ascii="仿宋_GB2312" w:eastAsia="仿宋_GB2312"/>
          <w:b/>
          <w:sz w:val="28"/>
          <w:szCs w:val="28"/>
        </w:rPr>
        <w:t>加强森林防火。</w:t>
      </w:r>
      <w:r>
        <w:rPr>
          <w:rFonts w:hint="eastAsia" w:ascii="仿宋_GB2312" w:eastAsia="仿宋_GB2312"/>
          <w:sz w:val="28"/>
          <w:szCs w:val="28"/>
        </w:rPr>
        <w:t>完成对生物防火林带的维护，积极开展森林防火宣传，狠抓各项防火措施，充分储备防火物资，继续努力向争创森林火灾25年零记录的目标迈进，确保森林火灾“零事故”。</w:t>
      </w:r>
    </w:p>
    <w:p>
      <w:pPr>
        <w:widowControl/>
        <w:spacing w:line="360" w:lineRule="auto"/>
        <w:ind w:firstLine="602" w:firstLineChars="200"/>
        <w:jc w:val="left"/>
        <w:rPr>
          <w:rFonts w:ascii="黑体" w:eastAsia="黑体"/>
          <w:b/>
          <w:sz w:val="30"/>
          <w:szCs w:val="30"/>
        </w:rPr>
      </w:pPr>
      <w:r>
        <w:rPr>
          <w:rFonts w:hint="eastAsia" w:ascii="黑体" w:eastAsia="黑体"/>
          <w:b/>
          <w:sz w:val="30"/>
          <w:szCs w:val="30"/>
        </w:rPr>
        <w:t>七、推广垃圾分类，推动生态环境可持续发展</w:t>
      </w:r>
    </w:p>
    <w:p>
      <w:pPr>
        <w:spacing w:line="360" w:lineRule="auto"/>
        <w:ind w:firstLine="570"/>
        <w:rPr>
          <w:rFonts w:ascii="仿宋_GB2312" w:hAnsi="宋体" w:eastAsia="仿宋_GB2312" w:cs="宋体"/>
          <w:kern w:val="0"/>
          <w:sz w:val="28"/>
          <w:szCs w:val="28"/>
        </w:rPr>
      </w:pPr>
      <w:r>
        <w:rPr>
          <w:rFonts w:hint="eastAsia" w:ascii="仿宋_GB2312" w:hAnsi="宋体" w:eastAsia="仿宋_GB2312" w:cs="宋体"/>
          <w:b/>
          <w:kern w:val="0"/>
          <w:sz w:val="28"/>
          <w:szCs w:val="28"/>
        </w:rPr>
        <w:t>（一）建立科学完善的分类回收再利用体系。</w:t>
      </w:r>
      <w:r>
        <w:rPr>
          <w:rFonts w:hint="eastAsia" w:ascii="仿宋_GB2312" w:hAnsi="宋体" w:eastAsia="仿宋_GB2312" w:cs="宋体"/>
          <w:kern w:val="0"/>
          <w:sz w:val="28"/>
          <w:szCs w:val="28"/>
        </w:rPr>
        <w:t>全面实施可回收物、有害垃圾和其他垃圾三分类处理。开展“资源回收日”活动，每个星期六在社区、住宅小区（城中村）统一集中回收废金属、废纸、废塑料、废玻璃、废织物等可回收物，到2020年实现全面覆盖，资源化利用率达到60%。全面</w:t>
      </w:r>
      <w:r>
        <w:rPr>
          <w:rFonts w:ascii="仿宋_GB2312" w:eastAsia="仿宋_GB2312"/>
          <w:sz w:val="28"/>
          <w:szCs w:val="28"/>
        </w:rPr>
        <w:t>开展废电池、废荧光灯管专项回收处理行动</w:t>
      </w:r>
      <w:r>
        <w:rPr>
          <w:rFonts w:hint="eastAsia" w:ascii="仿宋_GB2312" w:eastAsia="仿宋_GB2312"/>
          <w:sz w:val="28"/>
          <w:szCs w:val="28"/>
        </w:rPr>
        <w:t>，设置专门收集容器，进行专业化处理。开展</w:t>
      </w:r>
      <w:r>
        <w:rPr>
          <w:rFonts w:hint="eastAsia" w:ascii="仿宋_GB2312" w:hAnsi="宋体" w:eastAsia="仿宋_GB2312" w:cs="宋体"/>
          <w:kern w:val="0"/>
          <w:sz w:val="28"/>
          <w:szCs w:val="28"/>
        </w:rPr>
        <w:t xml:space="preserve">春节盆栽花卉的专项回收利用行动，探索建立废旧家具等大件垃圾收运处理体系。继续推动餐厨垃圾厂建设，开展餐厨（厨余）垃圾收运处理工作，机关、事业单位、国有企业餐厨（厨余）垃圾收运处理率达90%以上。 </w:t>
      </w:r>
    </w:p>
    <w:p>
      <w:pPr>
        <w:spacing w:line="360" w:lineRule="auto"/>
        <w:ind w:firstLine="570"/>
        <w:rPr>
          <w:rFonts w:ascii="仿宋_GB2312" w:hAnsi="宋体" w:eastAsia="仿宋_GB2312" w:cs="宋体"/>
          <w:kern w:val="0"/>
          <w:sz w:val="28"/>
          <w:szCs w:val="28"/>
        </w:rPr>
      </w:pPr>
      <w:r>
        <w:rPr>
          <w:rFonts w:hint="eastAsia" w:ascii="仿宋_GB2312" w:hAnsi="宋体" w:eastAsia="仿宋_GB2312" w:cs="宋体"/>
          <w:b/>
          <w:kern w:val="0"/>
          <w:sz w:val="28"/>
          <w:szCs w:val="28"/>
        </w:rPr>
        <w:t>（二）持续推广开展达标小区创建活动。</w:t>
      </w:r>
      <w:r>
        <w:rPr>
          <w:rFonts w:hint="eastAsia" w:ascii="仿宋_GB2312" w:hAnsi="宋体" w:eastAsia="仿宋_GB2312" w:cs="宋体"/>
          <w:kern w:val="0"/>
          <w:sz w:val="28"/>
          <w:szCs w:val="28"/>
        </w:rPr>
        <w:t>巩固提升全区现有72个生活垃圾分类和减量示范单位（小区）创建成果，继续按可回收物、有害垃圾、厨余垃圾和其他垃圾四类开展生活垃圾分类工作。开展生活垃圾分类和减量达标小区创建活动，发布居民小区生活垃圾分类和减量指导手册、操作规程、设施设备配置标准等指引文件，加强指导监督，每年12月底前组织开展生活垃圾分类和减量达标小区评价验收，从2016年至 2020 年辖区达标小区覆盖率分别达到 20％、40％、60％、80%、90%以上。</w:t>
      </w:r>
    </w:p>
    <w:p>
      <w:pPr>
        <w:widowControl/>
        <w:spacing w:line="360" w:lineRule="auto"/>
        <w:ind w:firstLine="555"/>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（三）不断提升市民认知和参与水平。</w:t>
      </w:r>
      <w:r>
        <w:rPr>
          <w:rFonts w:hint="eastAsia" w:ascii="仿宋_GB2312" w:hAnsi="宋体" w:eastAsia="仿宋_GB2312" w:cs="宋体"/>
          <w:kern w:val="0"/>
          <w:sz w:val="28"/>
          <w:szCs w:val="28"/>
        </w:rPr>
        <w:t>将垃圾分类纳入校园教育和职业教育范畴，成立讲师团对中小学校进行全覆盖宣传教育培训。在学校、家庭、社会行业等不同领域开展“分类减量，全城行动”行动，倡导绿色、低碳、文明的生活方式。成立区生活垃圾分类义工服务分队、街道生活垃圾分类义工服务小队，以志愿者为主力开展市民面对面宣传和实操指导，深入开展社会化宣传推广活动。充分发挥生活垃圾分类和减量NGO作用，广泛开展生活垃圾分类和减量宣传、督导及推进工作。</w:t>
      </w:r>
    </w:p>
    <w:p>
      <w:pPr>
        <w:spacing w:line="360" w:lineRule="auto"/>
        <w:ind w:firstLine="602" w:firstLineChars="200"/>
        <w:rPr>
          <w:rFonts w:ascii="黑体" w:eastAsia="黑体"/>
          <w:b/>
          <w:sz w:val="30"/>
          <w:szCs w:val="30"/>
        </w:rPr>
      </w:pPr>
      <w:r>
        <w:rPr>
          <w:rFonts w:hint="eastAsia" w:ascii="黑体" w:eastAsia="黑体"/>
          <w:b/>
          <w:sz w:val="30"/>
          <w:szCs w:val="30"/>
        </w:rPr>
        <w:t>八、依托数据优势，建立效能高智慧型管理模式</w:t>
      </w:r>
    </w:p>
    <w:p>
      <w:pPr>
        <w:spacing w:line="360" w:lineRule="auto"/>
        <w:ind w:firstLine="562" w:firstLineChars="200"/>
        <w:rPr>
          <w:rFonts w:ascii="仿宋_GB2312" w:hAnsi="Arial" w:eastAsia="仿宋_GB2312" w:cs="Arial"/>
          <w:sz w:val="28"/>
          <w:szCs w:val="28"/>
        </w:rPr>
      </w:pPr>
      <w:r>
        <w:rPr>
          <w:rFonts w:hint="eastAsia" w:ascii="仿宋_GB2312" w:hAnsi="Arial" w:eastAsia="仿宋_GB2312" w:cs="Arial"/>
          <w:b/>
          <w:sz w:val="28"/>
          <w:szCs w:val="28"/>
        </w:rPr>
        <w:t>（一）整合城市管理资源提高处置能力。</w:t>
      </w:r>
      <w:r>
        <w:rPr>
          <w:rFonts w:hint="eastAsia" w:ascii="仿宋_GB2312" w:hAnsi="Arial" w:eastAsia="仿宋_GB2312" w:cs="Arial"/>
          <w:sz w:val="28"/>
          <w:szCs w:val="28"/>
        </w:rPr>
        <w:t>完善福田区城市管理指挥调度系统建设，充分整合公安视频、信息采集工作网格、执法通等来源，对辖区市容市貌进行全方位监控，实现从指挥中心到路面的快捷处置。利用数字城管平台、微信公众平号、微信工作群等手段，搭建起集市民、信息采集员、行业监督部门、街道社区、专业服务企业等为一体的全方位处置平台，形成从巡查监督、问题发现、问题处置、整改完善全流程闭环型管理机制，全面提高城市管理效能。</w:t>
      </w:r>
    </w:p>
    <w:p>
      <w:pPr>
        <w:spacing w:line="360" w:lineRule="auto"/>
        <w:ind w:firstLine="422" w:firstLineChars="150"/>
        <w:rPr>
          <w:rFonts w:ascii="仿宋_GB2312" w:hAnsi="Arial" w:eastAsia="仿宋_GB2312" w:cs="Arial"/>
          <w:sz w:val="28"/>
          <w:szCs w:val="28"/>
        </w:rPr>
      </w:pPr>
      <w:r>
        <w:rPr>
          <w:rFonts w:hint="eastAsia" w:ascii="仿宋_GB2312" w:hAnsi="Arial" w:eastAsia="仿宋_GB2312" w:cs="Arial"/>
          <w:b/>
          <w:sz w:val="28"/>
          <w:szCs w:val="28"/>
        </w:rPr>
        <w:t>（二）强化数字城管预警和数据决策支撑。</w:t>
      </w:r>
      <w:r>
        <w:rPr>
          <w:rFonts w:hint="eastAsia" w:ascii="仿宋_GB2312" w:hAnsi="Arial" w:eastAsia="仿宋_GB2312" w:cs="Arial"/>
          <w:sz w:val="28"/>
          <w:szCs w:val="28"/>
        </w:rPr>
        <w:t>发挥数字城管在城市管理中的预报和预防作用，实行数字城管与行业监管联动，前移“管理关口”，及时发现和消除各类安全隐患，预防突发事件的产生。进一步完善数字城管应急响应预案，发挥12319热线24小时运行优势，对重大突发问题强化跟踪、督办，提供全天候、全时段应急保障。强化数字城管辅助决策作用，深度挖掘数字城管运行数据，及时总结城市管理问题发生规律和解决方法，把握热点，查找共性问题，为城市管理决策提供数据分析和信息支撑。</w:t>
      </w:r>
    </w:p>
    <w:p>
      <w:pPr>
        <w:spacing w:line="360" w:lineRule="auto"/>
        <w:ind w:firstLine="422" w:firstLineChars="150"/>
        <w:rPr>
          <w:rFonts w:ascii="仿宋_GB2312" w:hAnsi="Arial" w:eastAsia="仿宋_GB2312" w:cs="Arial"/>
          <w:sz w:val="28"/>
          <w:szCs w:val="28"/>
        </w:rPr>
      </w:pPr>
      <w:r>
        <w:rPr>
          <w:rFonts w:hint="eastAsia" w:ascii="仿宋_GB2312" w:hAnsi="宋体" w:eastAsia="仿宋_GB2312"/>
          <w:b/>
          <w:sz w:val="28"/>
          <w:szCs w:val="28"/>
        </w:rPr>
        <w:t>（三）</w:t>
      </w:r>
      <w:r>
        <w:rPr>
          <w:rFonts w:hint="eastAsia" w:ascii="仿宋_GB2312" w:eastAsia="仿宋_GB2312"/>
          <w:b/>
          <w:sz w:val="28"/>
          <w:szCs w:val="28"/>
        </w:rPr>
        <w:t>优化数字化城管系统运行与管理。</w:t>
      </w:r>
      <w:r>
        <w:rPr>
          <w:rFonts w:hint="eastAsia" w:ascii="仿宋_GB2312" w:eastAsia="仿宋_GB2312"/>
          <w:sz w:val="28"/>
          <w:szCs w:val="28"/>
        </w:rPr>
        <w:t>进一步加强平台操作管理，加强对平台操作员接听市民电话、处理市民投诉回复以及灵活应变力的培训工作，进一步提高案件的派遣准确率。加强信息采集员的培训与管理，提高业务技能，提高辖区城市管理问题及时正确上报率；同时，</w:t>
      </w:r>
      <w:r>
        <w:rPr>
          <w:rFonts w:hint="eastAsia" w:ascii="仿宋_GB2312" w:hAnsi="Arial" w:eastAsia="仿宋_GB2312" w:cs="Arial"/>
          <w:sz w:val="28"/>
          <w:szCs w:val="28"/>
        </w:rPr>
        <w:t>加大视频监控的使用，实现从人工采集信息到人机结合发现问题转变。到2020年数字城管平台运行电话接听率维持在100%、立案和派遣的准确率达95%以上、结案率达99%以上。</w:t>
      </w:r>
    </w:p>
    <w:p>
      <w:pPr>
        <w:widowControl/>
        <w:spacing w:line="360" w:lineRule="auto"/>
        <w:ind w:right="300" w:firstLine="562" w:firstLineChars="200"/>
        <w:jc w:val="left"/>
        <w:rPr>
          <w:rFonts w:ascii="仿宋_GB2312" w:hAnsi="ˎ̥" w:eastAsia="仿宋_GB2312" w:cs="宋体"/>
          <w:kern w:val="0"/>
          <w:sz w:val="28"/>
          <w:szCs w:val="28"/>
        </w:rPr>
      </w:pPr>
      <w:r>
        <w:rPr>
          <w:rFonts w:hint="eastAsia" w:ascii="仿宋_GB2312" w:hAnsi="ˎ̥" w:eastAsia="仿宋_GB2312" w:cs="宋体"/>
          <w:b/>
          <w:kern w:val="0"/>
          <w:sz w:val="28"/>
          <w:szCs w:val="28"/>
        </w:rPr>
        <w:t>（四）建立城市管理信用评价机制。</w:t>
      </w:r>
      <w:r>
        <w:rPr>
          <w:rFonts w:hint="eastAsia" w:ascii="仿宋_GB2312" w:hAnsi="ˎ̥" w:eastAsia="仿宋_GB2312" w:cs="宋体"/>
          <w:kern w:val="0"/>
          <w:sz w:val="28"/>
          <w:szCs w:val="28"/>
        </w:rPr>
        <w:t>将城市管理各类服务供应商（清扫保洁、绿化管养、施工单位、监理单位等）的履约情况、城市管理综合执法结果等信息纳入城市管理诚信平台，建立诚信数据库，实行“红黑名单”管理，为城市管理日常管理、重大决策提供支撑。</w:t>
      </w:r>
    </w:p>
    <w:p>
      <w:pPr>
        <w:spacing w:line="360" w:lineRule="auto"/>
        <w:ind w:firstLine="602" w:firstLineChars="200"/>
        <w:rPr>
          <w:rFonts w:ascii="黑体" w:eastAsia="黑体"/>
          <w:b/>
          <w:sz w:val="30"/>
          <w:szCs w:val="30"/>
        </w:rPr>
      </w:pPr>
      <w:r>
        <w:rPr>
          <w:rFonts w:hint="eastAsia" w:ascii="黑体" w:eastAsia="黑体"/>
          <w:b/>
          <w:sz w:val="30"/>
          <w:szCs w:val="30"/>
        </w:rPr>
        <w:t>九、鼓励公众参与，开创城市管理共建共享新局面</w:t>
      </w:r>
    </w:p>
    <w:p>
      <w:pPr>
        <w:widowControl/>
        <w:spacing w:line="360" w:lineRule="auto"/>
        <w:ind w:firstLine="562" w:firstLineChars="200"/>
        <w:jc w:val="left"/>
        <w:rPr>
          <w:rFonts w:ascii="仿宋_GB2312" w:eastAsia="仿宋_GB2312"/>
          <w:sz w:val="28"/>
          <w:szCs w:val="28"/>
        </w:rPr>
      </w:pPr>
      <w:r>
        <w:rPr>
          <w:rFonts w:hint="eastAsia" w:ascii="仿宋_GB2312" w:hAnsi="宋体" w:eastAsia="仿宋_GB2312"/>
          <w:b/>
          <w:sz w:val="28"/>
          <w:szCs w:val="28"/>
        </w:rPr>
        <w:t>（一）不断扩大公众参与城市管理渠道</w:t>
      </w:r>
      <w:r>
        <w:rPr>
          <w:rFonts w:hint="eastAsia" w:ascii="仿宋_GB2312" w:eastAsia="仿宋_GB2312"/>
          <w:b/>
          <w:sz w:val="28"/>
          <w:szCs w:val="28"/>
        </w:rPr>
        <w:t>。</w:t>
      </w:r>
      <w:r>
        <w:rPr>
          <w:rFonts w:hint="eastAsia" w:ascii="仿宋_GB2312" w:eastAsia="仿宋_GB2312"/>
          <w:sz w:val="28"/>
          <w:szCs w:val="28"/>
        </w:rPr>
        <w:t>建立常态化的城市管理公众意见听取机制，对公园建设、绿道建设、垃圾分类、公厕垃圾站建设等城市管理民生实事项目，通过社区公告栏、座谈会、民意征集表等形式，听取市民意见，邀请公众参与城市管理决策。开通并正式运营城市管理公众微信号，在提供优质城市管理服务的同时，鼓励公众将身边的城市管理问题、对城市管理工作的意见等通过微信平台进行反馈，提升辖区居民的主体意识，扩大参与城市管理渠道。</w:t>
      </w:r>
    </w:p>
    <w:p>
      <w:pPr>
        <w:widowControl/>
        <w:spacing w:line="360" w:lineRule="auto"/>
        <w:ind w:firstLine="562" w:firstLineChars="200"/>
        <w:jc w:val="left"/>
        <w:rPr>
          <w:rFonts w:ascii="仿宋_GB2312" w:hAnsi="宋体" w:eastAsia="仿宋_GB2312" w:cs="宋体"/>
          <w:kern w:val="0"/>
          <w:sz w:val="28"/>
          <w:szCs w:val="28"/>
        </w:rPr>
      </w:pPr>
      <w:r>
        <w:rPr>
          <w:rFonts w:hint="eastAsia" w:ascii="仿宋_GB2312" w:eastAsia="仿宋_GB2312"/>
          <w:b/>
          <w:sz w:val="28"/>
          <w:szCs w:val="28"/>
        </w:rPr>
        <w:t>（二）建立城市管理志愿参与服务队。</w:t>
      </w:r>
      <w:r>
        <w:rPr>
          <w:rFonts w:hint="eastAsia" w:ascii="仿宋_GB2312" w:hAnsi="宋体" w:eastAsia="仿宋_GB2312" w:cs="宋体"/>
          <w:kern w:val="0"/>
          <w:sz w:val="28"/>
          <w:szCs w:val="28"/>
        </w:rPr>
        <w:t>与团委、妇联等群众团体开展深度合作，联合各街道办，发动公益组织、社会力量、辖区居民，建立城市管理义工队伍，在全区招募垃圾分类、文明养犬、城市管理义务工作者，对城中村、老旧住宅区、集贸市场、重点商业区域等城市管理重点、难点区域开展无证设摊、占道经营、乱堆乱放、乱吐乱扔、损坏花草树木及市政设施等行为的教育劝纠，同时定期组织如城市管理法规宣传、卫生清洁、垃圾分类等城市管理志愿服务活动。</w:t>
      </w:r>
    </w:p>
    <w:p>
      <w:pPr>
        <w:widowControl/>
        <w:spacing w:line="360" w:lineRule="auto"/>
        <w:ind w:left="139" w:leftChars="66" w:firstLine="562" w:firstLineChars="200"/>
        <w:jc w:val="left"/>
        <w:rPr>
          <w:rFonts w:ascii="仿宋_GB2312" w:eastAsia="仿宋_GB2312"/>
          <w:sz w:val="28"/>
          <w:szCs w:val="28"/>
        </w:rPr>
      </w:pPr>
      <w:r>
        <w:rPr>
          <w:rFonts w:hint="eastAsia" w:ascii="仿宋_GB2312" w:eastAsia="仿宋_GB2312"/>
          <w:b/>
          <w:sz w:val="28"/>
          <w:szCs w:val="28"/>
        </w:rPr>
        <w:t>（三）探索“多元共治”城市管理新模式。</w:t>
      </w:r>
      <w:r>
        <w:rPr>
          <w:rFonts w:hint="eastAsia" w:ascii="仿宋_GB2312" w:eastAsia="仿宋_GB2312"/>
          <w:sz w:val="28"/>
          <w:szCs w:val="28"/>
        </w:rPr>
        <w:t>充分发挥辖区1000多个物业管理单位的作用，督促物业管理单位落实好环境卫生、市容秩序等方面责任的同时，主动参与城市管理。推动街道层面将城市管理涉及到的各相关部门如街道城管科、执法队，区城管局及其它职能部门，以联席会议、城市管理中心、领导小组等形式进行整合作业，并吸收城市管理服务外包商、物业管理单位代表、社区居民代表、行业专业人士等，形成基层城市管理“多部门协同、多元主体共同参与”的局面。</w:t>
      </w:r>
    </w:p>
    <w:p>
      <w:pPr>
        <w:widowControl/>
        <w:spacing w:line="360" w:lineRule="auto"/>
        <w:ind w:firstLine="560" w:firstLineChars="200"/>
        <w:jc w:val="left"/>
        <w:rPr>
          <w:rFonts w:ascii="仿宋_GB2312" w:hAnsi="宋体" w:eastAsia="仿宋_GB2312" w:cs="宋体"/>
          <w:kern w:val="0"/>
          <w:sz w:val="28"/>
          <w:szCs w:val="28"/>
        </w:rPr>
      </w:pPr>
    </w:p>
    <w:p>
      <w:pPr>
        <w:spacing w:line="360" w:lineRule="auto"/>
        <w:ind w:firstLine="354" w:firstLineChars="98"/>
        <w:jc w:val="center"/>
        <w:rPr>
          <w:rFonts w:ascii="黑体" w:eastAsia="黑体"/>
          <w:b/>
          <w:sz w:val="36"/>
          <w:szCs w:val="36"/>
        </w:rPr>
      </w:pPr>
      <w:r>
        <w:rPr>
          <w:rFonts w:hint="eastAsia" w:ascii="黑体" w:eastAsia="黑体"/>
          <w:b/>
          <w:sz w:val="36"/>
          <w:szCs w:val="36"/>
        </w:rPr>
        <w:t>第四部分  保障措施</w:t>
      </w:r>
    </w:p>
    <w:p>
      <w:pPr>
        <w:spacing w:line="240" w:lineRule="exact"/>
        <w:rPr>
          <w:rFonts w:ascii="黑体" w:eastAsia="黑体"/>
          <w:b/>
          <w:sz w:val="30"/>
          <w:szCs w:val="30"/>
        </w:rPr>
      </w:pPr>
    </w:p>
    <w:p>
      <w:pPr>
        <w:spacing w:line="360" w:lineRule="auto"/>
        <w:ind w:firstLine="602" w:firstLineChars="200"/>
        <w:rPr>
          <w:rFonts w:ascii="黑体" w:eastAsia="黑体"/>
          <w:b/>
          <w:sz w:val="30"/>
          <w:szCs w:val="30"/>
        </w:rPr>
      </w:pPr>
      <w:r>
        <w:rPr>
          <w:rFonts w:hint="eastAsia" w:ascii="黑体" w:eastAsia="黑体"/>
          <w:b/>
          <w:sz w:val="30"/>
          <w:szCs w:val="30"/>
        </w:rPr>
        <w:t>一、组织保障</w:t>
      </w:r>
    </w:p>
    <w:p>
      <w:pPr>
        <w:widowControl/>
        <w:spacing w:line="360" w:lineRule="auto"/>
        <w:ind w:right="300" w:firstLine="697" w:firstLineChars="249"/>
        <w:jc w:val="left"/>
        <w:rPr>
          <w:rFonts w:ascii="仿宋_GB2312" w:hAnsi="ˎ̥" w:eastAsia="仿宋_GB2312" w:cs="宋体"/>
          <w:kern w:val="0"/>
          <w:sz w:val="28"/>
          <w:szCs w:val="28"/>
        </w:rPr>
      </w:pPr>
      <w:r>
        <w:rPr>
          <w:rFonts w:hint="eastAsia" w:ascii="仿宋_GB2312" w:eastAsia="仿宋_GB2312" w:cs="宋体"/>
          <w:kern w:val="0"/>
          <w:sz w:val="28"/>
          <w:szCs w:val="28"/>
        </w:rPr>
        <w:t>进一步加强对城市管理工作的组织领导，</w:t>
      </w:r>
      <w:r>
        <w:rPr>
          <w:rFonts w:hint="eastAsia" w:ascii="仿宋_GB2312" w:hAnsi="ˎ̥" w:eastAsia="仿宋_GB2312" w:cs="宋体"/>
          <w:kern w:val="0"/>
          <w:sz w:val="28"/>
          <w:szCs w:val="28"/>
        </w:rPr>
        <w:t>增强城区综合协调能力，积极探索建立城市管理高位协调机制，</w:t>
      </w:r>
      <w:r>
        <w:rPr>
          <w:rFonts w:hint="eastAsia" w:ascii="仿宋_GB2312" w:eastAsia="仿宋_GB2312" w:cs="宋体"/>
          <w:kern w:val="0"/>
          <w:sz w:val="28"/>
          <w:szCs w:val="28"/>
        </w:rPr>
        <w:t>加强对城市管理工作的宏观领导，进行统一部署，监督检查</w:t>
      </w:r>
      <w:r>
        <w:rPr>
          <w:rFonts w:hint="eastAsia" w:ascii="仿宋_GB2312" w:hAnsi="ˎ̥" w:eastAsia="仿宋_GB2312" w:cs="宋体"/>
          <w:kern w:val="0"/>
          <w:sz w:val="28"/>
          <w:szCs w:val="28"/>
        </w:rPr>
        <w:t>城市管理各项任务</w:t>
      </w:r>
      <w:r>
        <w:rPr>
          <w:rFonts w:hint="eastAsia" w:ascii="仿宋_GB2312" w:eastAsia="仿宋_GB2312" w:cs="宋体"/>
          <w:kern w:val="0"/>
          <w:sz w:val="28"/>
          <w:szCs w:val="28"/>
        </w:rPr>
        <w:t>，及时研究解决重大问题，制定必要的配套政策。</w:t>
      </w:r>
      <w:r>
        <w:rPr>
          <w:rFonts w:hint="eastAsia" w:ascii="仿宋_GB2312" w:hAnsi="ˎ̥" w:eastAsia="仿宋_GB2312" w:cs="宋体"/>
          <w:kern w:val="0"/>
          <w:sz w:val="28"/>
          <w:szCs w:val="28"/>
        </w:rPr>
        <w:t>加强与区职能部门与辖区单位的联系，及时沟通信息，反映情况，督促落实，实现管理的无缝对接，形成管理合力，提高管理效率。</w:t>
      </w:r>
    </w:p>
    <w:p>
      <w:pPr>
        <w:spacing w:line="360" w:lineRule="auto"/>
        <w:ind w:firstLine="554" w:firstLineChars="198"/>
        <w:rPr>
          <w:rFonts w:ascii="仿宋_GB2312" w:eastAsia="仿宋_GB2312" w:cs="宋体"/>
          <w:kern w:val="0"/>
          <w:sz w:val="28"/>
          <w:szCs w:val="28"/>
        </w:rPr>
      </w:pPr>
      <w:r>
        <w:rPr>
          <w:rFonts w:hint="eastAsia" w:ascii="仿宋_GB2312" w:hAnsi="ˎ̥" w:eastAsia="仿宋_GB2312" w:cs="宋体"/>
          <w:kern w:val="0"/>
          <w:sz w:val="28"/>
          <w:szCs w:val="28"/>
        </w:rPr>
        <w:t>逐层分解落实工作责任，形成区和街道分级管理、部门相互配合、上下良性互动的推进机制。进一步下移日常管理重心，充分发挥街道的积极性和能动性。在网络型、功能性基础设施管理中，探索实施区域化管理的机制。健全干部考核机制，分解下达年度工作目标，签订工作目标责任书，把城市管理和服务工作落到实处。</w:t>
      </w:r>
    </w:p>
    <w:p>
      <w:pPr>
        <w:spacing w:line="360" w:lineRule="auto"/>
        <w:ind w:firstLine="554" w:firstLineChars="198"/>
        <w:rPr>
          <w:rFonts w:ascii="仿宋_GB2312" w:eastAsia="仿宋_GB2312" w:cs="宋体"/>
          <w:kern w:val="0"/>
          <w:sz w:val="28"/>
          <w:szCs w:val="28"/>
        </w:rPr>
      </w:pPr>
      <w:r>
        <w:rPr>
          <w:rFonts w:hint="eastAsia" w:ascii="仿宋_GB2312" w:eastAsia="仿宋_GB2312" w:cs="宋体"/>
          <w:kern w:val="0"/>
          <w:sz w:val="28"/>
          <w:szCs w:val="28"/>
        </w:rPr>
        <w:t>进一步加强内部管理，建立全局重点工作督查督办系统，确保全年各项工作高效落实。对全局各项工作制度、日常管理制度等进行全面梳理，促进局内部管理的规范化、制度化。加强固定资产的管理和服务外包红黑名单管理，规范全局各类采购行为。深入开展安全生产和扶贫对口工作，继续保持争先创优的工作势头。</w:t>
      </w:r>
    </w:p>
    <w:p>
      <w:pPr>
        <w:spacing w:line="360" w:lineRule="auto"/>
        <w:ind w:firstLine="602" w:firstLineChars="200"/>
        <w:rPr>
          <w:rFonts w:ascii="黑体" w:eastAsia="黑体"/>
          <w:b/>
          <w:sz w:val="30"/>
          <w:szCs w:val="30"/>
        </w:rPr>
      </w:pPr>
      <w:r>
        <w:rPr>
          <w:rFonts w:hint="eastAsia" w:ascii="黑体" w:eastAsia="黑体"/>
          <w:b/>
          <w:sz w:val="30"/>
          <w:szCs w:val="30"/>
        </w:rPr>
        <w:t>二、技术保障</w:t>
      </w:r>
    </w:p>
    <w:p>
      <w:pPr>
        <w:spacing w:line="360" w:lineRule="auto"/>
        <w:ind w:firstLine="554" w:firstLineChars="198"/>
        <w:rPr>
          <w:rFonts w:ascii="仿宋_GB2312" w:eastAsia="仿宋_GB2312"/>
          <w:sz w:val="28"/>
          <w:szCs w:val="28"/>
        </w:rPr>
      </w:pPr>
      <w:r>
        <w:rPr>
          <w:rFonts w:hint="eastAsia" w:ascii="仿宋_GB2312" w:eastAsia="仿宋_GB2312"/>
          <w:sz w:val="28"/>
          <w:szCs w:val="28"/>
        </w:rPr>
        <w:t>充分利用“数字福田”的优势，积极参与数字化城市管理工作。应用、整合数字城市技术，采用万米单元网格管理法和城市部件管理法相结合的方式，实现城市管理空间细化和管理对象的准确定位，实现精确、敏捷、高效、全事段、全方位覆盖的城市管理，以信息化、科技化手段推进城市管理工作的精细化和精致化。聚焦城市管理与服务领域中重点的技术（技术群）、标准体系进行重点突破和重点研究，依托科技为城市管理与服务保驾护航。提高城市管理问题的发现能力，并在此基础上同步提高城管综合处置能力，解决城市管理中长期存在的依赖突击性治理、流动式管理的弊端，达到“全覆盖、经常化、高水平”。</w:t>
      </w:r>
    </w:p>
    <w:p>
      <w:pPr>
        <w:spacing w:line="360" w:lineRule="auto"/>
        <w:ind w:firstLine="602" w:firstLineChars="200"/>
        <w:rPr>
          <w:rFonts w:ascii="黑体" w:eastAsia="黑体"/>
          <w:b/>
          <w:sz w:val="30"/>
          <w:szCs w:val="30"/>
        </w:rPr>
      </w:pPr>
      <w:r>
        <w:rPr>
          <w:rFonts w:hint="eastAsia" w:ascii="黑体" w:eastAsia="黑体"/>
          <w:b/>
          <w:sz w:val="30"/>
          <w:szCs w:val="30"/>
        </w:rPr>
        <w:t>三、机制保障</w:t>
      </w:r>
    </w:p>
    <w:p>
      <w:pPr>
        <w:spacing w:line="360" w:lineRule="auto"/>
        <w:ind w:firstLine="560" w:firstLineChars="200"/>
        <w:jc w:val="left"/>
        <w:rPr>
          <w:rFonts w:ascii="仿宋_GB2312" w:eastAsia="仿宋_GB2312" w:cs="宋体"/>
          <w:kern w:val="0"/>
          <w:sz w:val="28"/>
          <w:szCs w:val="28"/>
        </w:rPr>
      </w:pPr>
      <w:r>
        <w:rPr>
          <w:rFonts w:hint="eastAsia" w:ascii="仿宋_GB2312" w:eastAsia="仿宋_GB2312" w:cs="宋体"/>
          <w:kern w:val="0"/>
          <w:sz w:val="28"/>
          <w:szCs w:val="28"/>
        </w:rPr>
        <w:t>形成公共财政投入稳定增长机制。城市管理经费随着城市规模扩大而相应增长，适当提高城市建设维护费在城市管理中的投入比重，使</w:t>
      </w:r>
      <w:r>
        <w:rPr>
          <w:rFonts w:hint="eastAsia" w:ascii="仿宋_GB2312" w:eastAsia="仿宋_GB2312"/>
          <w:kern w:val="0"/>
          <w:sz w:val="28"/>
          <w:szCs w:val="28"/>
        </w:rPr>
        <w:t>“</w:t>
      </w:r>
      <w:r>
        <w:rPr>
          <w:rFonts w:hint="eastAsia" w:ascii="仿宋_GB2312" w:eastAsia="仿宋_GB2312" w:cs="宋体"/>
          <w:kern w:val="0"/>
          <w:sz w:val="28"/>
          <w:szCs w:val="28"/>
        </w:rPr>
        <w:t>十三五</w:t>
      </w:r>
      <w:r>
        <w:rPr>
          <w:rFonts w:hint="eastAsia" w:ascii="仿宋_GB2312" w:eastAsia="仿宋_GB2312"/>
          <w:kern w:val="0"/>
          <w:sz w:val="28"/>
          <w:szCs w:val="28"/>
        </w:rPr>
        <w:t>”</w:t>
      </w:r>
      <w:r>
        <w:rPr>
          <w:rFonts w:hint="eastAsia" w:ascii="仿宋_GB2312" w:eastAsia="仿宋_GB2312" w:cs="宋体"/>
          <w:kern w:val="0"/>
          <w:sz w:val="28"/>
          <w:szCs w:val="28"/>
        </w:rPr>
        <w:t>期间城市管理投入每年均保持相应的增幅。建立健全区、街道两级城市管理和维护资金稳定的公共财政投入增长机制，充分发挥街道作用。重点解决城市管理的</w:t>
      </w:r>
      <w:r>
        <w:rPr>
          <w:rFonts w:hint="eastAsia" w:ascii="仿宋_GB2312" w:eastAsia="仿宋_GB2312"/>
          <w:kern w:val="0"/>
          <w:sz w:val="28"/>
          <w:szCs w:val="28"/>
        </w:rPr>
        <w:t>“</w:t>
      </w:r>
      <w:r>
        <w:rPr>
          <w:rFonts w:hint="eastAsia" w:ascii="仿宋_GB2312" w:eastAsia="仿宋_GB2312" w:cs="宋体"/>
          <w:kern w:val="0"/>
          <w:sz w:val="28"/>
          <w:szCs w:val="28"/>
        </w:rPr>
        <w:t>三大保障</w:t>
      </w:r>
      <w:r>
        <w:rPr>
          <w:rFonts w:hint="eastAsia" w:ascii="仿宋_GB2312" w:eastAsia="仿宋_GB2312"/>
          <w:kern w:val="0"/>
          <w:sz w:val="28"/>
          <w:szCs w:val="28"/>
        </w:rPr>
        <w:t>”</w:t>
      </w:r>
      <w:r>
        <w:rPr>
          <w:rFonts w:hint="eastAsia" w:ascii="仿宋_GB2312" w:eastAsia="仿宋_GB2312" w:cs="宋体"/>
          <w:kern w:val="0"/>
          <w:sz w:val="28"/>
          <w:szCs w:val="28"/>
        </w:rPr>
        <w:t>，一是日常城市管理经费保障，二是改善城管部门办公装备条件，增强城管部门快速反应、综合处置问题的能力，三是适应城市现代化建设和人口增加的形势要求，根据编制调整情况及时增加城管执法人员以保证执行任务的基本需求，同时要切实加强城管治安保障。</w:t>
      </w:r>
    </w:p>
    <w:p>
      <w:pPr>
        <w:spacing w:line="360" w:lineRule="auto"/>
        <w:ind w:firstLine="560" w:firstLineChars="200"/>
        <w:jc w:val="left"/>
        <w:rPr>
          <w:rFonts w:ascii="仿宋_GB2312" w:eastAsia="仿宋_GB2312" w:cs="宋体"/>
          <w:kern w:val="0"/>
          <w:sz w:val="28"/>
          <w:szCs w:val="28"/>
        </w:rPr>
      </w:pPr>
      <w:r>
        <w:rPr>
          <w:rFonts w:hint="eastAsia" w:ascii="仿宋_GB2312" w:eastAsia="仿宋_GB2312" w:cs="宋体"/>
          <w:kern w:val="0"/>
          <w:sz w:val="28"/>
          <w:szCs w:val="28"/>
        </w:rPr>
        <w:t>逐步完善城市管理多元化投入机制，支持民间资本以</w:t>
      </w:r>
      <w:r>
        <w:rPr>
          <w:rFonts w:ascii="仿宋_GB2312" w:eastAsia="仿宋_GB2312" w:cs="宋体"/>
          <w:kern w:val="0"/>
          <w:sz w:val="28"/>
          <w:szCs w:val="28"/>
        </w:rPr>
        <w:t>BT</w:t>
      </w:r>
      <w:r>
        <w:rPr>
          <w:rFonts w:hint="eastAsia" w:ascii="仿宋_GB2312" w:eastAsia="仿宋_GB2312" w:cs="宋体"/>
          <w:kern w:val="0"/>
          <w:sz w:val="28"/>
          <w:szCs w:val="28"/>
        </w:rPr>
        <w:t>、</w:t>
      </w:r>
      <w:r>
        <w:rPr>
          <w:rFonts w:ascii="仿宋_GB2312" w:eastAsia="仿宋_GB2312" w:cs="宋体"/>
          <w:kern w:val="0"/>
          <w:sz w:val="28"/>
          <w:szCs w:val="28"/>
        </w:rPr>
        <w:t>BOT</w:t>
      </w:r>
      <w:r>
        <w:rPr>
          <w:rFonts w:hint="eastAsia" w:ascii="仿宋_GB2312" w:eastAsia="仿宋_GB2312" w:cs="宋体"/>
          <w:kern w:val="0"/>
          <w:sz w:val="28"/>
          <w:szCs w:val="28"/>
        </w:rPr>
        <w:t>、</w:t>
      </w:r>
      <w:r>
        <w:rPr>
          <w:rFonts w:ascii="仿宋_GB2312" w:eastAsia="仿宋_GB2312" w:cs="宋体"/>
          <w:kern w:val="0"/>
          <w:sz w:val="28"/>
          <w:szCs w:val="28"/>
        </w:rPr>
        <w:t>TOT</w:t>
      </w:r>
      <w:r>
        <w:rPr>
          <w:rFonts w:hint="eastAsia" w:ascii="仿宋_GB2312" w:eastAsia="仿宋_GB2312" w:cs="宋体"/>
          <w:kern w:val="0"/>
          <w:sz w:val="28"/>
          <w:szCs w:val="28"/>
        </w:rPr>
        <w:t>等方式参与城市道路养护、绿化、城市生活垃圾处理等市政设施建设与维护，鼓励民间资本积极参与政府特许经营项目。加大推进城市管理项目市场化、社会化，保障城市管理服务能力持续提升。</w:t>
      </w:r>
    </w:p>
    <w:p>
      <w:pPr>
        <w:widowControl/>
        <w:spacing w:line="360" w:lineRule="auto"/>
        <w:ind w:right="300"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建立融入“以人为本”与“人民城市人民管”理念的群众评价机制。发挥人大、政协及社会各界在城市管理中的作用，并在现行聘请相关行业行风监督员的基础上，向全社会招募热衷和关心城市管理的各界人士，担任城市管理信息员，组织他们对全区城市管理进行监督和评议。</w:t>
      </w:r>
    </w:p>
    <w:p>
      <w:pPr>
        <w:spacing w:line="360" w:lineRule="auto"/>
        <w:ind w:firstLine="602" w:firstLineChars="200"/>
        <w:rPr>
          <w:rFonts w:ascii="黑体" w:eastAsia="黑体"/>
          <w:b/>
          <w:sz w:val="30"/>
          <w:szCs w:val="30"/>
        </w:rPr>
      </w:pPr>
      <w:r>
        <w:rPr>
          <w:rFonts w:hint="eastAsia" w:ascii="黑体" w:eastAsia="黑体"/>
          <w:b/>
          <w:sz w:val="30"/>
          <w:szCs w:val="30"/>
        </w:rPr>
        <w:t>四、人才保障</w:t>
      </w:r>
    </w:p>
    <w:p>
      <w:pPr>
        <w:widowControl/>
        <w:spacing w:line="360" w:lineRule="auto"/>
        <w:ind w:right="300"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建立常态化培训机制，打造学习型、创新型城管队伍。每年</w:t>
      </w:r>
      <w:r>
        <w:rPr>
          <w:rFonts w:hint="eastAsia" w:ascii="仿宋_GB2312" w:hAnsi="宋体" w:eastAsia="仿宋_GB2312"/>
          <w:sz w:val="28"/>
          <w:szCs w:val="28"/>
        </w:rPr>
        <w:t>分批组织干部职工赴国内知名高校进行短期学习和考察，以行政管理学、法学、社会学等综合学科以及城市管理业务涉及的专业学科为主，</w:t>
      </w:r>
      <w:r>
        <w:rPr>
          <w:rFonts w:hint="eastAsia" w:ascii="仿宋_GB2312" w:hAnsi="ˎ̥" w:eastAsia="仿宋_GB2312" w:cs="宋体"/>
          <w:kern w:val="0"/>
          <w:sz w:val="28"/>
          <w:szCs w:val="28"/>
        </w:rPr>
        <w:t>不断提高干部职工的专业（业务）能力和综合素质，提升城管队伍的公共管理能力和依法行政能力。</w:t>
      </w:r>
    </w:p>
    <w:p>
      <w:pPr>
        <w:widowControl/>
        <w:spacing w:line="360" w:lineRule="auto"/>
        <w:ind w:right="300" w:firstLine="560" w:firstLineChars="200"/>
        <w:jc w:val="left"/>
        <w:rPr>
          <w:rFonts w:ascii="仿宋_GB2312" w:eastAsia="仿宋_GB2312"/>
          <w:sz w:val="28"/>
          <w:szCs w:val="28"/>
        </w:rPr>
      </w:pPr>
      <w:r>
        <w:rPr>
          <w:rFonts w:hint="eastAsia" w:ascii="仿宋_GB2312" w:eastAsia="仿宋_GB2312"/>
          <w:sz w:val="28"/>
          <w:szCs w:val="28"/>
        </w:rPr>
        <w:t>激励城市管理与服务人员爱岗敬业。保障一线执法人员和一线作业人员的正当权益和作业安全，创造优良的工作环境和工作条件，开展各类“情暖福田”关心一线执法人员和一线作业人员的活动，使他们能够真正爱岗敬业。</w:t>
      </w:r>
    </w:p>
    <w:p>
      <w:pPr>
        <w:widowControl/>
        <w:spacing w:line="360" w:lineRule="auto"/>
        <w:ind w:right="300" w:firstLine="560" w:firstLineChars="200"/>
        <w:jc w:val="left"/>
        <w:rPr>
          <w:rFonts w:ascii="仿宋_GB2312" w:eastAsia="仿宋_GB2312"/>
          <w:sz w:val="28"/>
          <w:szCs w:val="28"/>
        </w:rPr>
      </w:pPr>
      <w:r>
        <w:rPr>
          <w:rFonts w:hint="eastAsia" w:ascii="仿宋_GB2312" w:eastAsia="仿宋_GB2312"/>
          <w:sz w:val="28"/>
          <w:szCs w:val="28"/>
        </w:rPr>
        <w:t>建立城管智库，支撑城管发展与服务优化。积极推进行业领军人才、高技能人才等重点人才的引进和建设。借助外脑，加强城市管理与服务课题研究，加大与科研院校合作。建立福田区城市管理研究会，将其打造成研究、促进和支撑城市管理与服务发展的重要平台。大力引进科技成果在城市管理领域的应用，积极运用新技术，引进新工艺，提高垃圾转运、废弃物处理、城市立体绿化等方面水平。</w:t>
      </w:r>
    </w:p>
    <w:p>
      <w:pPr>
        <w:widowControl/>
        <w:spacing w:line="360" w:lineRule="auto"/>
        <w:ind w:right="300" w:firstLine="560" w:firstLineChars="200"/>
        <w:jc w:val="left"/>
        <w:rPr>
          <w:rFonts w:ascii="仿宋_GB2312" w:eastAsia="仿宋_GB2312"/>
          <w:sz w:val="28"/>
          <w:szCs w:val="28"/>
        </w:rPr>
      </w:pPr>
    </w:p>
    <w:p>
      <w:pPr>
        <w:widowControl/>
        <w:spacing w:line="360" w:lineRule="auto"/>
        <w:ind w:right="300" w:firstLine="560" w:firstLineChars="200"/>
        <w:jc w:val="left"/>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b/>
          <w:sz w:val="28"/>
          <w:szCs w:val="28"/>
        </w:rPr>
        <w:t>附表1</w:t>
      </w:r>
      <w:r>
        <w:rPr>
          <w:rFonts w:hint="eastAsia" w:ascii="仿宋_GB2312" w:eastAsia="仿宋_GB2312"/>
          <w:sz w:val="28"/>
          <w:szCs w:val="28"/>
        </w:rPr>
        <w:t xml:space="preserve">  福田区城市管理与服务“十三五”发展规划指标</w:t>
      </w:r>
    </w:p>
    <w:p>
      <w:pPr>
        <w:spacing w:line="360" w:lineRule="auto"/>
        <w:rPr>
          <w:rFonts w:ascii="仿宋_GB2312" w:eastAsia="仿宋_GB2312"/>
          <w:sz w:val="28"/>
          <w:szCs w:val="28"/>
        </w:rPr>
      </w:pPr>
      <w:r>
        <w:fldChar w:fldCharType="begin"/>
      </w:r>
      <w:r>
        <w:instrText xml:space="preserve"> HYPERLINK \l "_Toc147305402" </w:instrText>
      </w:r>
      <w:r>
        <w:fldChar w:fldCharType="separate"/>
      </w:r>
      <w:r>
        <w:rPr>
          <w:rFonts w:hint="eastAsia" w:ascii="仿宋_GB2312" w:eastAsia="仿宋_GB2312"/>
          <w:b/>
          <w:sz w:val="28"/>
          <w:szCs w:val="28"/>
        </w:rPr>
        <w:t xml:space="preserve">附表2 </w:t>
      </w:r>
      <w:r>
        <w:rPr>
          <w:rStyle w:val="20"/>
          <w:rFonts w:hint="eastAsia" w:ascii="仿宋_GB2312" w:eastAsia="仿宋_GB2312"/>
          <w:b/>
          <w:color w:val="auto"/>
          <w:sz w:val="28"/>
          <w:szCs w:val="28"/>
          <w:u w:val="none"/>
        </w:rPr>
        <w:t xml:space="preserve"> </w:t>
      </w:r>
      <w:r>
        <w:rPr>
          <w:rFonts w:hint="eastAsia" w:ascii="仿宋_GB2312" w:eastAsia="仿宋_GB2312"/>
          <w:sz w:val="28"/>
          <w:szCs w:val="28"/>
        </w:rPr>
        <w:t>重大项目一览表</w:t>
      </w:r>
      <w:r>
        <w:rPr>
          <w:rFonts w:hint="eastAsia" w:ascii="仿宋_GB2312" w:eastAsia="仿宋_GB2312"/>
          <w:sz w:val="28"/>
          <w:szCs w:val="28"/>
        </w:rPr>
        <w:fldChar w:fldCharType="end"/>
      </w: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0" w:lineRule="atLeast"/>
        <w:jc w:val="center"/>
        <w:rPr>
          <w:rFonts w:ascii="仿宋_GB2312" w:eastAsia="仿宋_GB2312"/>
          <w:b/>
          <w:sz w:val="32"/>
          <w:szCs w:val="32"/>
        </w:rPr>
      </w:pPr>
      <w:r>
        <w:rPr>
          <w:rFonts w:hint="eastAsia" w:ascii="仿宋_GB2312" w:eastAsia="仿宋_GB2312"/>
          <w:b/>
          <w:sz w:val="32"/>
          <w:szCs w:val="32"/>
        </w:rPr>
        <w:t>福田区城市管理与服务“十三五”发展规划指标</w:t>
      </w:r>
    </w:p>
    <w:tbl>
      <w:tblPr>
        <w:tblStyle w:val="1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5"/>
        <w:gridCol w:w="3445"/>
        <w:gridCol w:w="1134"/>
        <w:gridCol w:w="1091"/>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b/>
                <w:sz w:val="20"/>
                <w:szCs w:val="28"/>
              </w:rPr>
            </w:pPr>
            <w:r>
              <w:rPr>
                <w:rFonts w:hint="eastAsia" w:ascii="仿宋_GB2312" w:hAnsi="Calibri" w:eastAsia="仿宋_GB2312"/>
                <w:b/>
                <w:sz w:val="20"/>
                <w:szCs w:val="28"/>
              </w:rPr>
              <w:t>指标类别</w:t>
            </w: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b/>
                <w:sz w:val="20"/>
                <w:szCs w:val="28"/>
              </w:rPr>
            </w:pPr>
            <w:r>
              <w:rPr>
                <w:rFonts w:hint="eastAsia" w:ascii="仿宋_GB2312" w:hAnsi="Calibri" w:eastAsia="仿宋_GB2312"/>
                <w:b/>
                <w:sz w:val="20"/>
                <w:szCs w:val="28"/>
              </w:rPr>
              <w:t>编号</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仿宋_GB2312" w:hAnsi="Calibri" w:eastAsia="仿宋_GB2312"/>
                <w:b/>
                <w:sz w:val="20"/>
                <w:szCs w:val="28"/>
              </w:rPr>
            </w:pPr>
            <w:r>
              <w:rPr>
                <w:rFonts w:hint="eastAsia" w:ascii="仿宋_GB2312" w:hAnsi="Calibri" w:eastAsia="仿宋_GB2312"/>
                <w:b/>
                <w:sz w:val="20"/>
                <w:szCs w:val="28"/>
              </w:rPr>
              <w:t>规划指标</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b/>
                <w:sz w:val="20"/>
                <w:szCs w:val="28"/>
              </w:rPr>
            </w:pPr>
            <w:r>
              <w:rPr>
                <w:rFonts w:hint="eastAsia" w:ascii="仿宋_GB2312" w:hAnsi="Calibri" w:eastAsia="仿宋_GB2312"/>
                <w:b/>
                <w:sz w:val="20"/>
                <w:szCs w:val="28"/>
              </w:rPr>
              <w:t>2015年指标数据</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b/>
                <w:sz w:val="20"/>
                <w:szCs w:val="28"/>
              </w:rPr>
            </w:pPr>
            <w:r>
              <w:rPr>
                <w:rFonts w:hint="eastAsia" w:ascii="仿宋_GB2312" w:hAnsi="Calibri" w:eastAsia="仿宋_GB2312"/>
                <w:b/>
                <w:sz w:val="20"/>
                <w:szCs w:val="28"/>
              </w:rPr>
              <w:t>2020年指标数据</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b/>
                <w:sz w:val="20"/>
                <w:szCs w:val="28"/>
              </w:rPr>
            </w:pPr>
            <w:r>
              <w:rPr>
                <w:rFonts w:hint="eastAsia" w:ascii="仿宋_GB2312" w:hAnsi="Calibri" w:eastAsia="仿宋_GB2312"/>
                <w:b/>
                <w:sz w:val="20"/>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tcPr>
          <w:p>
            <w:pPr>
              <w:spacing w:line="0" w:lineRule="atLeast"/>
              <w:rPr>
                <w:rFonts w:ascii="仿宋_GB2312" w:hAnsi="Calibri" w:eastAsia="仿宋_GB2312"/>
                <w:sz w:val="20"/>
                <w:szCs w:val="28"/>
              </w:rPr>
            </w:pPr>
          </w:p>
          <w:p>
            <w:pPr>
              <w:spacing w:line="0" w:lineRule="atLeast"/>
              <w:rPr>
                <w:rFonts w:ascii="仿宋_GB2312" w:hAnsi="Calibri" w:eastAsia="仿宋_GB2312"/>
                <w:sz w:val="20"/>
                <w:szCs w:val="28"/>
              </w:rPr>
            </w:pPr>
          </w:p>
          <w:p>
            <w:pPr>
              <w:spacing w:line="0" w:lineRule="atLeast"/>
              <w:rPr>
                <w:rFonts w:ascii="仿宋_GB2312" w:hAnsi="Calibri" w:eastAsia="仿宋_GB2312"/>
                <w:sz w:val="20"/>
                <w:szCs w:val="28"/>
              </w:rPr>
            </w:pPr>
          </w:p>
          <w:p>
            <w:pPr>
              <w:spacing w:line="0" w:lineRule="atLeast"/>
              <w:rPr>
                <w:rFonts w:ascii="仿宋_GB2312" w:hAnsi="Calibri" w:eastAsia="仿宋_GB2312"/>
                <w:sz w:val="20"/>
                <w:szCs w:val="28"/>
              </w:rPr>
            </w:pPr>
            <w:r>
              <w:rPr>
                <w:rFonts w:hint="eastAsia" w:ascii="仿宋_GB2312" w:hAnsi="Calibri" w:eastAsia="仿宋_GB2312"/>
                <w:sz w:val="20"/>
                <w:szCs w:val="28"/>
              </w:rPr>
              <w:t>环境卫生</w:t>
            </w: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新增环保型公厕建设数（座）</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w:t>
            </w:r>
            <w:r>
              <w:rPr>
                <w:rFonts w:hint="eastAsia" w:ascii="仿宋_GB2312" w:hAnsi="Calibri" w:eastAsia="仿宋_GB2312"/>
                <w:sz w:val="20"/>
                <w:szCs w:val="28"/>
              </w:rPr>
              <w:t>3</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≥8</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稳步增加（五年期间新增5座）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2</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cs="宋体"/>
                <w:sz w:val="20"/>
                <w:szCs w:val="28"/>
              </w:rPr>
            </w:pPr>
            <w:r>
              <w:rPr>
                <w:rFonts w:hint="eastAsia" w:ascii="仿宋_GB2312" w:hAnsi="Calibri" w:eastAsia="仿宋_GB2312"/>
                <w:sz w:val="20"/>
                <w:szCs w:val="28"/>
              </w:rPr>
              <w:t>升级改造市政公厕垃圾站</w:t>
            </w:r>
            <w:r>
              <w:rPr>
                <w:rFonts w:hint="eastAsia" w:ascii="仿宋_GB2312" w:hAnsi="宋体" w:eastAsia="仿宋_GB2312" w:cs="宋体"/>
                <w:sz w:val="20"/>
                <w:szCs w:val="28"/>
              </w:rPr>
              <w:t>（</w:t>
            </w:r>
            <w:r>
              <w:rPr>
                <w:rFonts w:hint="eastAsia" w:ascii="仿宋_GB2312" w:hAnsi="Calibri" w:eastAsia="仿宋_GB2312"/>
                <w:sz w:val="20"/>
                <w:szCs w:val="28"/>
              </w:rPr>
              <w:t>座）</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w:t>
            </w:r>
            <w:r>
              <w:rPr>
                <w:rFonts w:hint="eastAsia" w:ascii="仿宋_GB2312" w:hAnsi="Calibri" w:eastAsia="仿宋_GB2312"/>
                <w:sz w:val="20"/>
                <w:szCs w:val="28"/>
              </w:rPr>
              <w:t>20</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≥25</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3</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升级改造社会公厕（农贸市场、加油站）（座）</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≥20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≥56</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4</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生活垃圾密闭化收集率（%）</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100</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5</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宋体" w:eastAsia="仿宋_GB2312"/>
                <w:sz w:val="20"/>
                <w:szCs w:val="28"/>
              </w:rPr>
              <w:t>生活垃圾再生资源回收利用率</w:t>
            </w:r>
            <w:r>
              <w:rPr>
                <w:rFonts w:hint="eastAsia" w:ascii="仿宋_GB2312" w:hAnsi="Calibri" w:eastAsia="仿宋_GB2312"/>
                <w:sz w:val="20"/>
                <w:szCs w:val="28"/>
              </w:rPr>
              <w:t>（%）</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30</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60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参考4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6</w:t>
            </w:r>
          </w:p>
        </w:tc>
        <w:tc>
          <w:tcPr>
            <w:tcW w:w="3445" w:type="dxa"/>
            <w:tcBorders>
              <w:top w:val="single" w:color="auto" w:sz="4" w:space="0"/>
              <w:left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宋体" w:eastAsia="仿宋_GB2312"/>
                <w:sz w:val="20"/>
                <w:szCs w:val="28"/>
              </w:rPr>
              <w:t>市政道路机械化清扫率</w:t>
            </w:r>
            <w:r>
              <w:rPr>
                <w:rFonts w:hint="eastAsia" w:ascii="仿宋_GB2312" w:hAnsi="Calibri" w:eastAsia="仿宋_GB2312"/>
                <w:sz w:val="20"/>
                <w:szCs w:val="28"/>
              </w:rPr>
              <w:t>（%）</w:t>
            </w:r>
          </w:p>
        </w:tc>
        <w:tc>
          <w:tcPr>
            <w:tcW w:w="1134" w:type="dxa"/>
            <w:tcBorders>
              <w:top w:val="single" w:color="auto" w:sz="4" w:space="0"/>
              <w:left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100</w:t>
            </w:r>
          </w:p>
        </w:tc>
        <w:tc>
          <w:tcPr>
            <w:tcW w:w="1091" w:type="dxa"/>
            <w:tcBorders>
              <w:top w:val="single" w:color="auto" w:sz="4" w:space="0"/>
              <w:left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参考2。北京城区95%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7</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生活垃圾无害化处理率（%）</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Calibri" w:eastAsia="仿宋_GB2312" w:cs="仿宋_GB2312"/>
                <w:sz w:val="20"/>
                <w:szCs w:val="28"/>
                <w:lang w:val="zh-CN"/>
              </w:rPr>
              <w:t>根据3</w:t>
            </w:r>
            <w:r>
              <w:rPr>
                <w:rFonts w:hint="eastAsia" w:ascii="仿宋_GB2312" w:hAnsi="宋体" w:eastAsia="仿宋_GB2312"/>
                <w:sz w:val="20"/>
                <w:szCs w:val="28"/>
              </w:rPr>
              <w:t>。北京“十一五“已达</w:t>
            </w:r>
            <w:r>
              <w:rPr>
                <w:rFonts w:ascii="仿宋_GB2312" w:hAnsi="宋体" w:eastAsia="仿宋_GB2312"/>
                <w:sz w:val="20"/>
                <w:szCs w:val="28"/>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8</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有害垃圾安全处理率（%）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9" w:type="dxa"/>
            <w:vMerge w:val="restart"/>
            <w:tcBorders>
              <w:top w:val="single" w:color="auto" w:sz="4" w:space="0"/>
              <w:left w:val="single" w:color="auto" w:sz="4" w:space="0"/>
              <w:right w:val="single" w:color="auto" w:sz="4" w:space="0"/>
            </w:tcBorders>
          </w:tcPr>
          <w:p>
            <w:pPr>
              <w:spacing w:line="0" w:lineRule="atLeast"/>
              <w:rPr>
                <w:rFonts w:ascii="仿宋_GB2312" w:hAnsi="Calibri" w:eastAsia="仿宋_GB2312"/>
                <w:sz w:val="20"/>
                <w:szCs w:val="28"/>
              </w:rPr>
            </w:pPr>
          </w:p>
          <w:p>
            <w:pPr>
              <w:spacing w:line="0" w:lineRule="atLeast"/>
              <w:rPr>
                <w:rFonts w:ascii="仿宋_GB2312" w:hAnsi="Calibri" w:eastAsia="仿宋_GB2312"/>
                <w:sz w:val="20"/>
                <w:szCs w:val="28"/>
              </w:rPr>
            </w:pPr>
          </w:p>
          <w:p>
            <w:pPr>
              <w:spacing w:line="0" w:lineRule="atLeast"/>
              <w:rPr>
                <w:rFonts w:ascii="仿宋_GB2312" w:hAnsi="Calibri" w:eastAsia="仿宋_GB2312"/>
                <w:sz w:val="20"/>
                <w:szCs w:val="28"/>
              </w:rPr>
            </w:pPr>
            <w:r>
              <w:rPr>
                <w:rFonts w:hint="eastAsia" w:ascii="仿宋_GB2312" w:hAnsi="Calibri" w:eastAsia="仿宋_GB2312"/>
                <w:sz w:val="20"/>
                <w:szCs w:val="28"/>
              </w:rPr>
              <w:t>园林绿化与林业</w:t>
            </w: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绿化覆盖率（%）</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≥36.38</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≥36.38</w:t>
            </w:r>
          </w:p>
        </w:tc>
        <w:tc>
          <w:tcPr>
            <w:tcW w:w="2452" w:type="dxa"/>
            <w:tcBorders>
              <w:top w:val="single" w:color="auto" w:sz="4" w:space="0"/>
              <w:left w:val="single" w:color="auto" w:sz="4" w:space="0"/>
              <w:bottom w:val="single" w:color="auto" w:sz="4" w:space="0"/>
              <w:right w:val="single" w:color="auto" w:sz="4" w:space="0"/>
            </w:tcBorders>
          </w:tcPr>
          <w:p>
            <w:pPr>
              <w:pStyle w:val="3"/>
            </w:pPr>
            <w:r>
              <w:rPr>
                <w:rFonts w:hint="eastAsia" w:ascii="仿宋_GB2312" w:hAnsi="宋体" w:eastAsia="仿宋_GB2312" w:cs="宋体"/>
                <w:sz w:val="20"/>
                <w:szCs w:val="28"/>
              </w:rPr>
              <w:t>维持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2</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人均享有公园面积（m2）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5.95</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7.06</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3</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人均绿地面积（m2）</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w:t>
            </w:r>
            <w:r>
              <w:rPr>
                <w:rFonts w:hint="eastAsia" w:ascii="仿宋_GB2312" w:hAnsi="Calibri" w:eastAsia="仿宋_GB2312" w:cs="仿宋_GB2312"/>
                <w:sz w:val="20"/>
                <w:szCs w:val="28"/>
              </w:rPr>
              <w:t>23.74</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w:t>
            </w:r>
            <w:r>
              <w:rPr>
                <w:rFonts w:hint="eastAsia" w:ascii="仿宋_GB2312" w:hAnsi="Calibri" w:eastAsia="仿宋_GB2312" w:cs="仿宋_GB2312"/>
                <w:sz w:val="20"/>
                <w:szCs w:val="28"/>
              </w:rPr>
              <w:t>23.74</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宋体" w:eastAsia="仿宋_GB2312" w:cs="宋体"/>
                <w:sz w:val="20"/>
                <w:szCs w:val="28"/>
              </w:rPr>
              <w:t>维持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4</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绿道公里数（公里）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148</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155</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5</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新建（改造）社区公园数（个）</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≥5</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稳步增加，每年2个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6</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宋体" w:eastAsia="仿宋_GB2312"/>
                <w:sz w:val="20"/>
                <w:szCs w:val="28"/>
              </w:rPr>
            </w:pPr>
            <w:r>
              <w:rPr>
                <w:rFonts w:hint="eastAsia" w:ascii="仿宋_GB2312" w:hAnsi="宋体" w:eastAsia="仿宋_GB2312"/>
                <w:sz w:val="20"/>
                <w:szCs w:val="28"/>
              </w:rPr>
              <w:t>慢行系统路网密度（公里/平方公里）</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新增指标</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3.4</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7</w:t>
            </w:r>
          </w:p>
        </w:tc>
        <w:tc>
          <w:tcPr>
            <w:tcW w:w="34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公共自行车数量（辆）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2000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8</w:t>
            </w:r>
          </w:p>
        </w:tc>
        <w:tc>
          <w:tcPr>
            <w:tcW w:w="3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森林覆盖率（%）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23.78</w:t>
            </w:r>
          </w:p>
        </w:tc>
        <w:tc>
          <w:tcPr>
            <w:tcW w:w="1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23.91</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9</w:t>
            </w:r>
          </w:p>
        </w:tc>
        <w:tc>
          <w:tcPr>
            <w:tcW w:w="3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生态公益林面积（万亩）</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1.62</w:t>
            </w:r>
          </w:p>
        </w:tc>
        <w:tc>
          <w:tcPr>
            <w:tcW w:w="1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1.63</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10</w:t>
            </w:r>
          </w:p>
        </w:tc>
        <w:tc>
          <w:tcPr>
            <w:tcW w:w="3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森林蓄积（万立方米）</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10.7</w:t>
            </w:r>
          </w:p>
        </w:tc>
        <w:tc>
          <w:tcPr>
            <w:tcW w:w="1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09" w:type="dxa"/>
            <w:vMerge w:val="restart"/>
            <w:tcBorders>
              <w:top w:val="single" w:color="auto" w:sz="4" w:space="0"/>
              <w:left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市容环境综合治理</w:t>
            </w: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主干道广告招牌管理达标率（%）</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cs="宋体"/>
                <w:sz w:val="20"/>
                <w:szCs w:val="28"/>
              </w:rPr>
            </w:pPr>
            <w:r>
              <w:rPr>
                <w:rFonts w:hint="eastAsia" w:ascii="仿宋_GB2312" w:hAnsi="宋体" w:eastAsia="仿宋_GB2312" w:cs="宋体"/>
                <w:sz w:val="20"/>
                <w:szCs w:val="28"/>
              </w:rPr>
              <w:t>维持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2</w:t>
            </w:r>
          </w:p>
        </w:tc>
        <w:tc>
          <w:tcPr>
            <w:tcW w:w="3445" w:type="dxa"/>
            <w:tcBorders>
              <w:top w:val="single" w:color="auto" w:sz="4" w:space="0"/>
              <w:left w:val="single" w:color="auto" w:sz="4" w:space="0"/>
              <w:bottom w:val="single" w:color="auto" w:sz="4" w:space="0"/>
              <w:right w:val="single" w:color="auto" w:sz="4" w:space="0"/>
            </w:tcBorders>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户外广告修建性详细规划方案</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10处节点</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30处节点</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3</w:t>
            </w:r>
          </w:p>
        </w:tc>
        <w:tc>
          <w:tcPr>
            <w:tcW w:w="3445" w:type="dxa"/>
            <w:tcBorders>
              <w:top w:val="single" w:color="auto" w:sz="4" w:space="0"/>
              <w:left w:val="single" w:color="auto" w:sz="4" w:space="0"/>
              <w:bottom w:val="single" w:color="auto" w:sz="4" w:space="0"/>
              <w:right w:val="single" w:color="auto" w:sz="4" w:space="0"/>
            </w:tcBorders>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公厕艺术化装饰工程（座）</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 xml:space="preserve"> 3</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 xml:space="preserve"> 5</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稳步增加（五年期间新增2座）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4</w:t>
            </w:r>
          </w:p>
        </w:tc>
        <w:tc>
          <w:tcPr>
            <w:tcW w:w="3445" w:type="dxa"/>
            <w:tcBorders>
              <w:top w:val="single" w:color="auto" w:sz="4" w:space="0"/>
              <w:left w:val="single" w:color="auto" w:sz="4" w:space="0"/>
              <w:bottom w:val="single" w:color="auto" w:sz="4" w:space="0"/>
              <w:right w:val="single" w:color="auto" w:sz="4" w:space="0"/>
            </w:tcBorders>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提高垃圾转运站设施配置标准（个）</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20</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61</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tcPr>
          <w:p>
            <w:pPr>
              <w:spacing w:line="0" w:lineRule="atLeast"/>
              <w:rPr>
                <w:rFonts w:ascii="仿宋_GB2312" w:hAnsi="Calibri" w:eastAsia="仿宋_GB2312"/>
                <w:sz w:val="20"/>
                <w:szCs w:val="28"/>
              </w:rPr>
            </w:pPr>
          </w:p>
          <w:p>
            <w:pPr>
              <w:spacing w:line="0" w:lineRule="atLeast"/>
              <w:rPr>
                <w:rFonts w:ascii="仿宋_GB2312" w:hAnsi="Calibri" w:eastAsia="仿宋_GB2312"/>
                <w:sz w:val="20"/>
                <w:szCs w:val="28"/>
              </w:rPr>
            </w:pPr>
            <w:r>
              <w:rPr>
                <w:rFonts w:hint="eastAsia" w:ascii="仿宋_GB2312" w:hAnsi="Calibri" w:eastAsia="仿宋_GB2312"/>
                <w:sz w:val="20"/>
                <w:szCs w:val="28"/>
              </w:rPr>
              <w:t>数字城管</w:t>
            </w: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w:t>
            </w:r>
          </w:p>
        </w:tc>
        <w:tc>
          <w:tcPr>
            <w:tcW w:w="34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0" w:lineRule="atLeast"/>
              <w:jc w:val="left"/>
              <w:rPr>
                <w:rFonts w:ascii="仿宋_GB2312" w:hAnsi="宋体" w:eastAsia="仿宋_GB2312"/>
                <w:sz w:val="20"/>
                <w:szCs w:val="28"/>
              </w:rPr>
            </w:pPr>
            <w:r>
              <w:rPr>
                <w:rFonts w:hint="eastAsia" w:ascii="仿宋_GB2312" w:hAnsi="宋体" w:eastAsia="仿宋_GB2312"/>
                <w:sz w:val="20"/>
                <w:szCs w:val="28"/>
              </w:rPr>
              <w:t>投诉电话接听率（%）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宋体" w:eastAsia="仿宋_GB2312" w:cs="宋体"/>
                <w:sz w:val="20"/>
                <w:szCs w:val="28"/>
              </w:rPr>
              <w:t>维持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2</w:t>
            </w:r>
          </w:p>
        </w:tc>
        <w:tc>
          <w:tcPr>
            <w:tcW w:w="34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0" w:lineRule="atLeast"/>
              <w:jc w:val="left"/>
              <w:rPr>
                <w:rFonts w:ascii="仿宋_GB2312" w:hAnsi="宋体" w:eastAsia="仿宋_GB2312"/>
                <w:sz w:val="20"/>
                <w:szCs w:val="28"/>
              </w:rPr>
            </w:pPr>
            <w:r>
              <w:rPr>
                <w:rFonts w:hint="eastAsia" w:ascii="仿宋_GB2312" w:hAnsi="宋体" w:eastAsia="仿宋_GB2312"/>
                <w:sz w:val="20"/>
                <w:szCs w:val="28"/>
              </w:rPr>
              <w:t>事件案件结案率（%）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95</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98</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3</w:t>
            </w:r>
          </w:p>
        </w:tc>
        <w:tc>
          <w:tcPr>
            <w:tcW w:w="34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0" w:lineRule="atLeast"/>
              <w:jc w:val="left"/>
              <w:rPr>
                <w:rFonts w:ascii="仿宋_GB2312" w:hAnsi="宋体" w:eastAsia="仿宋_GB2312"/>
                <w:sz w:val="20"/>
                <w:szCs w:val="28"/>
              </w:rPr>
            </w:pPr>
            <w:r>
              <w:rPr>
                <w:rFonts w:hint="eastAsia" w:ascii="仿宋_GB2312" w:hAnsi="宋体" w:eastAsia="仿宋_GB2312"/>
                <w:sz w:val="20"/>
                <w:szCs w:val="28"/>
              </w:rPr>
              <w:t>部件的结案率（%）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80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85</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4</w:t>
            </w:r>
          </w:p>
        </w:tc>
        <w:tc>
          <w:tcPr>
            <w:tcW w:w="34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0" w:lineRule="atLeast"/>
              <w:jc w:val="left"/>
              <w:rPr>
                <w:rFonts w:ascii="仿宋_GB2312" w:hAnsi="宋体" w:eastAsia="仿宋_GB2312"/>
                <w:sz w:val="20"/>
                <w:szCs w:val="28"/>
              </w:rPr>
            </w:pPr>
            <w:r>
              <w:rPr>
                <w:rFonts w:hint="eastAsia" w:ascii="仿宋_GB2312" w:hAnsi="宋体" w:eastAsia="仿宋_GB2312"/>
                <w:sz w:val="20"/>
                <w:szCs w:val="28"/>
              </w:rPr>
              <w:t>立案和派遣的准确率（%）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92</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95</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爱国卫生</w:t>
            </w: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创建省级卫生村数（个）</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11</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15</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稳步增加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2</w:t>
            </w:r>
          </w:p>
        </w:tc>
        <w:tc>
          <w:tcPr>
            <w:tcW w:w="34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0"/>
                <w:szCs w:val="28"/>
              </w:rPr>
            </w:pPr>
            <w:r>
              <w:rPr>
                <w:rFonts w:hint="eastAsia" w:ascii="仿宋_GB2312" w:hAnsi="宋体" w:eastAsia="仿宋_GB2312"/>
                <w:sz w:val="20"/>
                <w:szCs w:val="28"/>
              </w:rPr>
              <w:t>城中村环卫爱卫专业化率</w:t>
            </w:r>
          </w:p>
        </w:tc>
        <w:tc>
          <w:tcPr>
            <w:tcW w:w="1134"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新增指标</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cs="仿宋_GB2312"/>
                <w:sz w:val="20"/>
                <w:szCs w:val="28"/>
                <w:lang w:val="zh-CN"/>
              </w:rPr>
              <w:t>参考2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9" w:type="dxa"/>
            <w:vMerge w:val="restart"/>
            <w:tcBorders>
              <w:left w:val="single" w:color="auto" w:sz="4" w:space="0"/>
              <w:right w:val="single" w:color="auto" w:sz="4" w:space="0"/>
            </w:tcBorders>
            <w:vAlign w:val="center"/>
          </w:tcPr>
          <w:p>
            <w:pPr>
              <w:spacing w:line="0" w:lineRule="atLeast"/>
              <w:rPr>
                <w:rFonts w:ascii="仿宋_GB2312" w:hAnsi="Calibri" w:eastAsia="仿宋_GB2312"/>
                <w:sz w:val="20"/>
                <w:szCs w:val="28"/>
              </w:rPr>
            </w:pPr>
            <w:r>
              <w:rPr>
                <w:rFonts w:hint="eastAsia" w:ascii="仿宋_GB2312" w:hAnsi="Calibri" w:eastAsia="仿宋_GB2312"/>
                <w:sz w:val="20"/>
                <w:szCs w:val="28"/>
              </w:rPr>
              <w:t>城管执法</w:t>
            </w: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1</w:t>
            </w:r>
          </w:p>
        </w:tc>
        <w:tc>
          <w:tcPr>
            <w:tcW w:w="3445" w:type="dxa"/>
            <w:tcBorders>
              <w:top w:val="single" w:color="auto" w:sz="4" w:space="0"/>
              <w:left w:val="single" w:color="auto" w:sz="4" w:space="0"/>
              <w:bottom w:val="single" w:color="auto" w:sz="4" w:space="0"/>
              <w:right w:val="single" w:color="auto" w:sz="4" w:space="0"/>
            </w:tcBorders>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涉法重大决策合法性审查率（%）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2</w:t>
            </w:r>
          </w:p>
        </w:tc>
        <w:tc>
          <w:tcPr>
            <w:tcW w:w="3445" w:type="dxa"/>
            <w:tcBorders>
              <w:top w:val="single" w:color="auto" w:sz="4" w:space="0"/>
              <w:left w:val="single" w:color="auto" w:sz="4" w:space="0"/>
              <w:bottom w:val="single" w:color="auto" w:sz="4" w:space="0"/>
              <w:right w:val="single" w:color="auto" w:sz="4" w:space="0"/>
            </w:tcBorders>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行政首长出庭应诉率（%）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90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3</w:t>
            </w:r>
          </w:p>
        </w:tc>
        <w:tc>
          <w:tcPr>
            <w:tcW w:w="3445" w:type="dxa"/>
            <w:tcBorders>
              <w:top w:val="single" w:color="auto" w:sz="4" w:space="0"/>
              <w:left w:val="single" w:color="auto" w:sz="4" w:space="0"/>
              <w:bottom w:val="single" w:color="auto" w:sz="4" w:space="0"/>
              <w:right w:val="single" w:color="auto" w:sz="4" w:space="0"/>
            </w:tcBorders>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政府部门法律顾问配备率（%）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4</w:t>
            </w:r>
          </w:p>
        </w:tc>
        <w:tc>
          <w:tcPr>
            <w:tcW w:w="3445" w:type="dxa"/>
            <w:tcBorders>
              <w:top w:val="single" w:color="auto" w:sz="4" w:space="0"/>
              <w:left w:val="single" w:color="auto" w:sz="4" w:space="0"/>
              <w:bottom w:val="single" w:color="auto" w:sz="4" w:space="0"/>
              <w:right w:val="single" w:color="auto" w:sz="4" w:space="0"/>
            </w:tcBorders>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行政执法案件申请法院强制执行率（%）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100</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根据1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09" w:type="dxa"/>
            <w:vMerge w:val="continue"/>
            <w:tcBorders>
              <w:left w:val="single" w:color="auto" w:sz="4" w:space="0"/>
              <w:right w:val="single" w:color="auto" w:sz="4" w:space="0"/>
            </w:tcBorders>
            <w:vAlign w:val="center"/>
          </w:tcPr>
          <w:p>
            <w:pPr>
              <w:spacing w:line="0" w:lineRule="atLeast"/>
              <w:rPr>
                <w:rFonts w:ascii="仿宋_GB2312" w:hAnsi="Calibri" w:eastAsia="仿宋_GB2312"/>
                <w:sz w:val="20"/>
                <w:szCs w:val="28"/>
              </w:rPr>
            </w:pPr>
          </w:p>
        </w:tc>
        <w:tc>
          <w:tcPr>
            <w:tcW w:w="52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sz w:val="20"/>
                <w:szCs w:val="28"/>
              </w:rPr>
            </w:pPr>
            <w:r>
              <w:rPr>
                <w:rFonts w:hint="eastAsia" w:ascii="仿宋_GB2312" w:hAnsi="Calibri" w:eastAsia="仿宋_GB2312"/>
                <w:sz w:val="20"/>
                <w:szCs w:val="28"/>
              </w:rPr>
              <w:t>5</w:t>
            </w:r>
          </w:p>
        </w:tc>
        <w:tc>
          <w:tcPr>
            <w:tcW w:w="3445" w:type="dxa"/>
            <w:tcBorders>
              <w:top w:val="single" w:color="auto" w:sz="4" w:space="0"/>
              <w:left w:val="single" w:color="auto" w:sz="4" w:space="0"/>
              <w:bottom w:val="single" w:color="auto" w:sz="4" w:space="0"/>
              <w:right w:val="single" w:color="auto" w:sz="4" w:space="0"/>
            </w:tcBorders>
          </w:tcPr>
          <w:p>
            <w:pPr>
              <w:autoSpaceDE w:val="0"/>
              <w:autoSpaceDN w:val="0"/>
              <w:spacing w:line="0" w:lineRule="atLeast"/>
              <w:rPr>
                <w:rFonts w:ascii="仿宋_GB2312" w:hAnsi="宋体" w:eastAsia="仿宋_GB2312"/>
                <w:sz w:val="20"/>
                <w:szCs w:val="28"/>
              </w:rPr>
            </w:pPr>
            <w:r>
              <w:rPr>
                <w:rFonts w:hint="eastAsia" w:ascii="仿宋_GB2312" w:hAnsi="宋体" w:eastAsia="仿宋_GB2312"/>
                <w:sz w:val="20"/>
                <w:szCs w:val="28"/>
              </w:rPr>
              <w:t>城市管理法制宣传教育普及率（%）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92</w:t>
            </w:r>
          </w:p>
        </w:tc>
        <w:tc>
          <w:tcPr>
            <w:tcW w:w="109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95</w:t>
            </w:r>
          </w:p>
        </w:tc>
        <w:tc>
          <w:tcPr>
            <w:tcW w:w="2452"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Calibri" w:eastAsia="仿宋_GB2312" w:cs="仿宋_GB2312"/>
                <w:sz w:val="20"/>
                <w:szCs w:val="28"/>
                <w:lang w:val="zh-CN"/>
              </w:rPr>
            </w:pPr>
            <w:r>
              <w:rPr>
                <w:rFonts w:hint="eastAsia" w:ascii="仿宋_GB2312" w:hAnsi="Calibri" w:eastAsia="仿宋_GB2312" w:cs="仿宋_GB2312"/>
                <w:sz w:val="20"/>
                <w:szCs w:val="28"/>
                <w:lang w:val="zh-CN"/>
              </w:rPr>
              <w:t>根据1</w:t>
            </w:r>
          </w:p>
        </w:tc>
      </w:tr>
    </w:tbl>
    <w:p>
      <w:pPr>
        <w:spacing w:line="0" w:lineRule="atLeast"/>
        <w:rPr>
          <w:b/>
          <w:sz w:val="24"/>
        </w:rPr>
      </w:pPr>
      <w:r>
        <w:rPr>
          <w:rFonts w:hint="eastAsia"/>
          <w:b/>
          <w:sz w:val="24"/>
        </w:rPr>
        <w:t>注：</w:t>
      </w:r>
    </w:p>
    <w:p>
      <w:pPr>
        <w:pStyle w:val="4"/>
        <w:spacing w:line="0" w:lineRule="atLeast"/>
        <w:jc w:val="left"/>
        <w:rPr>
          <w:rFonts w:ascii="仿宋_GB2312" w:hAnsi="Calibri" w:eastAsia="仿宋_GB2312"/>
          <w:sz w:val="24"/>
        </w:rPr>
      </w:pPr>
      <w:r>
        <w:rPr>
          <w:rFonts w:hint="eastAsia" w:ascii="仿宋_GB2312" w:hAnsi="Calibri" w:eastAsia="仿宋_GB2312"/>
          <w:sz w:val="24"/>
        </w:rPr>
        <w:t>1.福田区打造高品质综合环境主要指标.福发</w:t>
      </w:r>
      <w:r>
        <w:rPr>
          <w:rFonts w:ascii="仿宋_GB2312" w:hAnsi="Calibri" w:eastAsia="仿宋_GB2312"/>
          <w:sz w:val="24"/>
        </w:rPr>
        <w:t>〔2014〕</w:t>
      </w:r>
      <w:r>
        <w:rPr>
          <w:rFonts w:hint="eastAsia" w:ascii="仿宋_GB2312" w:hAnsi="Calibri" w:eastAsia="仿宋_GB2312"/>
          <w:sz w:val="24"/>
        </w:rPr>
        <w:t>9号</w:t>
      </w:r>
    </w:p>
    <w:p>
      <w:pPr>
        <w:pStyle w:val="4"/>
        <w:spacing w:line="0" w:lineRule="atLeast"/>
        <w:jc w:val="left"/>
        <w:rPr>
          <w:rFonts w:ascii="仿宋_GB2312" w:hAnsi="Calibri" w:eastAsia="仿宋_GB2312"/>
          <w:sz w:val="24"/>
        </w:rPr>
      </w:pPr>
      <w:r>
        <w:rPr>
          <w:rFonts w:hint="eastAsia" w:ascii="仿宋_GB2312" w:hAnsi="Calibri" w:eastAsia="仿宋_GB2312"/>
          <w:sz w:val="24"/>
        </w:rPr>
        <w:t>2. 福田区城市管理局关于印发《福田区城管局（执法局）落实高品质综合环境建设工作方案》的通知.福城管〔2014〕220号</w:t>
      </w:r>
    </w:p>
    <w:p>
      <w:pPr>
        <w:spacing w:line="0" w:lineRule="atLeast"/>
        <w:rPr>
          <w:rFonts w:ascii="仿宋_GB2312" w:hAnsi="Calibri" w:eastAsia="仿宋_GB2312"/>
          <w:sz w:val="24"/>
        </w:rPr>
      </w:pPr>
      <w:r>
        <w:rPr>
          <w:rFonts w:hint="eastAsia" w:ascii="仿宋_GB2312" w:hAnsi="Calibri" w:eastAsia="仿宋_GB2312"/>
          <w:sz w:val="24"/>
        </w:rPr>
        <w:t>3. 苏伟：优化存量、挖掘增量、促进减量、提升质量建设高品质生态环境</w:t>
      </w:r>
    </w:p>
    <w:p>
      <w:pPr>
        <w:spacing w:line="0" w:lineRule="atLeast"/>
        <w:rPr>
          <w:rFonts w:ascii="仿宋_GB2312" w:hAnsi="Calibri" w:eastAsia="仿宋_GB2312"/>
          <w:sz w:val="24"/>
        </w:rPr>
      </w:pPr>
      <w:r>
        <w:rPr>
          <w:rFonts w:hint="eastAsia" w:ascii="仿宋_GB2312" w:hAnsi="Calibri" w:eastAsia="仿宋_GB2312"/>
          <w:sz w:val="24"/>
        </w:rPr>
        <w:t>4. 上海市城市建设和管理“十二五”规划</w:t>
      </w:r>
    </w:p>
    <w:p>
      <w:pPr>
        <w:spacing w:line="360" w:lineRule="auto"/>
        <w:jc w:val="center"/>
        <w:rPr>
          <w:rFonts w:ascii="仿宋_GB2312" w:eastAsia="仿宋_GB2312"/>
          <w:b/>
          <w:sz w:val="32"/>
          <w:szCs w:val="32"/>
        </w:rPr>
      </w:pPr>
      <w:r>
        <w:rPr>
          <w:rFonts w:hint="eastAsia" w:ascii="仿宋_GB2312" w:eastAsia="仿宋_GB2312"/>
          <w:b/>
          <w:sz w:val="32"/>
          <w:szCs w:val="32"/>
        </w:rPr>
        <w:t>重大项目一览表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835"/>
        <w:gridCol w:w="1276"/>
        <w:gridCol w:w="1180"/>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0" w:lineRule="atLeast"/>
              <w:ind w:firstLine="295" w:firstLineChars="147"/>
              <w:rPr>
                <w:rFonts w:ascii="仿宋_GB2312" w:hAnsi="Calibri" w:eastAsia="仿宋_GB2312"/>
                <w:b/>
                <w:sz w:val="20"/>
                <w:szCs w:val="28"/>
              </w:rPr>
            </w:pPr>
            <w:r>
              <w:rPr>
                <w:rFonts w:hint="eastAsia" w:ascii="仿宋_GB2312" w:hAnsi="Calibri" w:eastAsia="仿宋_GB2312"/>
                <w:b/>
                <w:sz w:val="20"/>
                <w:szCs w:val="28"/>
              </w:rPr>
              <w:t>项目名称</w:t>
            </w:r>
          </w:p>
        </w:tc>
        <w:tc>
          <w:tcPr>
            <w:tcW w:w="2835" w:type="dxa"/>
          </w:tcPr>
          <w:p>
            <w:pPr>
              <w:spacing w:line="0" w:lineRule="atLeast"/>
              <w:jc w:val="center"/>
              <w:rPr>
                <w:rFonts w:ascii="仿宋_GB2312" w:hAnsi="Calibri" w:eastAsia="仿宋_GB2312"/>
                <w:b/>
                <w:sz w:val="20"/>
                <w:szCs w:val="28"/>
              </w:rPr>
            </w:pPr>
            <w:r>
              <w:rPr>
                <w:rFonts w:hint="eastAsia" w:ascii="仿宋_GB2312" w:hAnsi="Calibri" w:eastAsia="仿宋_GB2312"/>
                <w:b/>
                <w:sz w:val="20"/>
                <w:szCs w:val="28"/>
              </w:rPr>
              <w:t>建设内容</w:t>
            </w:r>
          </w:p>
        </w:tc>
        <w:tc>
          <w:tcPr>
            <w:tcW w:w="1276" w:type="dxa"/>
          </w:tcPr>
          <w:p>
            <w:pPr>
              <w:spacing w:line="0" w:lineRule="atLeast"/>
              <w:jc w:val="center"/>
              <w:rPr>
                <w:rFonts w:ascii="仿宋_GB2312" w:hAnsi="Calibri" w:eastAsia="仿宋_GB2312"/>
                <w:b/>
                <w:sz w:val="20"/>
                <w:szCs w:val="28"/>
              </w:rPr>
            </w:pPr>
            <w:r>
              <w:rPr>
                <w:rFonts w:hint="eastAsia" w:ascii="仿宋_GB2312" w:hAnsi="Calibri" w:eastAsia="仿宋_GB2312"/>
                <w:b/>
                <w:sz w:val="20"/>
                <w:szCs w:val="28"/>
              </w:rPr>
              <w:t>建设年限</w:t>
            </w:r>
          </w:p>
        </w:tc>
        <w:tc>
          <w:tcPr>
            <w:tcW w:w="1180" w:type="dxa"/>
          </w:tcPr>
          <w:p>
            <w:pPr>
              <w:spacing w:line="0" w:lineRule="atLeast"/>
              <w:jc w:val="center"/>
              <w:rPr>
                <w:rFonts w:ascii="仿宋_GB2312" w:hAnsi="Calibri" w:eastAsia="仿宋_GB2312"/>
                <w:b/>
                <w:sz w:val="20"/>
                <w:szCs w:val="28"/>
              </w:rPr>
            </w:pPr>
            <w:r>
              <w:rPr>
                <w:rFonts w:hint="eastAsia" w:ascii="仿宋_GB2312" w:hAnsi="Calibri" w:eastAsia="仿宋_GB2312"/>
                <w:b/>
                <w:sz w:val="20"/>
                <w:szCs w:val="28"/>
              </w:rPr>
              <w:t>规划投资预算（单位：万元）</w:t>
            </w:r>
          </w:p>
        </w:tc>
        <w:tc>
          <w:tcPr>
            <w:tcW w:w="1705" w:type="dxa"/>
          </w:tcPr>
          <w:p>
            <w:pPr>
              <w:spacing w:line="0" w:lineRule="atLeast"/>
              <w:jc w:val="center"/>
              <w:rPr>
                <w:rFonts w:ascii="仿宋_GB2312" w:hAnsi="Calibri" w:eastAsia="仿宋_GB2312"/>
                <w:b/>
                <w:sz w:val="20"/>
                <w:szCs w:val="28"/>
              </w:rPr>
            </w:pPr>
            <w:r>
              <w:rPr>
                <w:rFonts w:hint="eastAsia" w:ascii="仿宋_GB2312" w:hAnsi="Calibri" w:eastAsia="仿宋_GB2312"/>
                <w:b/>
                <w:sz w:val="20"/>
                <w:szCs w:val="28"/>
              </w:rPr>
              <w:t>项目设立依据</w:t>
            </w:r>
          </w:p>
          <w:p>
            <w:pPr>
              <w:spacing w:line="0" w:lineRule="atLeast"/>
              <w:jc w:val="center"/>
              <w:rPr>
                <w:rFonts w:ascii="仿宋_GB2312" w:hAnsi="Calibri" w:eastAsia="仿宋_GB2312"/>
                <w:b/>
                <w:sz w:val="20"/>
                <w:szCs w:val="28"/>
              </w:rPr>
            </w:pPr>
            <w:r>
              <w:rPr>
                <w:rFonts w:hint="eastAsia" w:ascii="仿宋_GB2312" w:hAnsi="Calibri" w:eastAsia="仿宋_GB2312"/>
                <w:b/>
                <w:sz w:val="20"/>
                <w:szCs w:val="28"/>
              </w:rPr>
              <w:t>（规划依据）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香蜜公园</w:t>
            </w:r>
          </w:p>
        </w:tc>
        <w:tc>
          <w:tcPr>
            <w:tcW w:w="2835" w:type="dxa"/>
          </w:tcPr>
          <w:p>
            <w:pPr>
              <w:spacing w:line="0" w:lineRule="atLeast"/>
              <w:rPr>
                <w:rFonts w:ascii="仿宋_GB2312" w:hAnsi="Calibri" w:eastAsia="仿宋_GB2312"/>
                <w:sz w:val="20"/>
                <w:szCs w:val="28"/>
              </w:rPr>
            </w:pPr>
            <w:r>
              <w:rPr>
                <w:rFonts w:hint="eastAsia" w:ascii="仿宋_GB2312" w:hAnsi="Calibri" w:eastAsia="仿宋_GB2312"/>
                <w:sz w:val="20"/>
                <w:szCs w:val="28"/>
              </w:rPr>
              <w:t>将香蜜公园建成为兼具公共休闲娱乐功能及农业科普研究功能的公益性质精品主题公园。</w:t>
            </w:r>
          </w:p>
        </w:tc>
        <w:tc>
          <w:tcPr>
            <w:tcW w:w="127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2014-2017</w:t>
            </w:r>
          </w:p>
        </w:tc>
        <w:tc>
          <w:tcPr>
            <w:tcW w:w="1180" w:type="dxa"/>
          </w:tcPr>
          <w:p>
            <w:pPr>
              <w:spacing w:line="0" w:lineRule="atLeast"/>
              <w:rPr>
                <w:rFonts w:ascii="仿宋_GB2312" w:hAnsi="Calibri" w:eastAsia="仿宋_GB2312"/>
                <w:sz w:val="20"/>
                <w:szCs w:val="28"/>
              </w:rPr>
            </w:pPr>
            <w:r>
              <w:rPr>
                <w:rFonts w:hint="eastAsia" w:ascii="仿宋_GB2312" w:hAnsi="Calibri" w:eastAsia="仿宋_GB2312"/>
                <w:sz w:val="20"/>
                <w:szCs w:val="28"/>
              </w:rPr>
              <w:t>30000</w:t>
            </w:r>
          </w:p>
        </w:tc>
        <w:tc>
          <w:tcPr>
            <w:tcW w:w="1705" w:type="dxa"/>
          </w:tcPr>
          <w:p>
            <w:pPr>
              <w:spacing w:line="0" w:lineRule="atLeast"/>
              <w:rPr>
                <w:rFonts w:ascii="仿宋_GB2312" w:hAnsi="Calibri" w:eastAsia="仿宋_GB2312"/>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福田保税区绿化景观改造</w:t>
            </w:r>
          </w:p>
        </w:tc>
        <w:tc>
          <w:tcPr>
            <w:tcW w:w="2835" w:type="dxa"/>
          </w:tcPr>
          <w:p>
            <w:pPr>
              <w:spacing w:line="0" w:lineRule="atLeast"/>
              <w:rPr>
                <w:rFonts w:ascii="仿宋_GB2312" w:hAnsi="Calibri" w:eastAsia="仿宋_GB2312"/>
                <w:sz w:val="20"/>
                <w:szCs w:val="28"/>
              </w:rPr>
            </w:pPr>
            <w:r>
              <w:rPr>
                <w:rFonts w:hint="eastAsia" w:ascii="仿宋_GB2312" w:hAnsi="Calibri" w:eastAsia="仿宋_GB2312"/>
                <w:sz w:val="20"/>
                <w:szCs w:val="28"/>
              </w:rPr>
              <w:t>全面提高园区绿化覆盖率和绿化水平</w:t>
            </w:r>
          </w:p>
        </w:tc>
        <w:tc>
          <w:tcPr>
            <w:tcW w:w="127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2015-2017</w:t>
            </w:r>
          </w:p>
        </w:tc>
        <w:tc>
          <w:tcPr>
            <w:tcW w:w="1180" w:type="dxa"/>
          </w:tcPr>
          <w:p>
            <w:pPr>
              <w:spacing w:line="0" w:lineRule="atLeast"/>
              <w:rPr>
                <w:rFonts w:ascii="仿宋_GB2312" w:hAnsi="Calibri" w:eastAsia="仿宋_GB2312"/>
                <w:sz w:val="20"/>
                <w:szCs w:val="28"/>
              </w:rPr>
            </w:pPr>
          </w:p>
        </w:tc>
        <w:tc>
          <w:tcPr>
            <w:tcW w:w="1705" w:type="dxa"/>
          </w:tcPr>
          <w:p>
            <w:pPr>
              <w:spacing w:line="0" w:lineRule="atLeast"/>
              <w:rPr>
                <w:rFonts w:ascii="仿宋_GB2312" w:hAnsi="Calibri" w:eastAsia="仿宋_GB2312"/>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中心区2号路功能完善</w:t>
            </w:r>
          </w:p>
        </w:tc>
        <w:tc>
          <w:tcPr>
            <w:tcW w:w="2835" w:type="dxa"/>
          </w:tcPr>
          <w:p>
            <w:pPr>
              <w:spacing w:line="0" w:lineRule="atLeast"/>
              <w:rPr>
                <w:rFonts w:ascii="仿宋_GB2312" w:hAnsi="Calibri" w:eastAsia="仿宋_GB2312"/>
                <w:sz w:val="20"/>
                <w:szCs w:val="28"/>
              </w:rPr>
            </w:pPr>
            <w:r>
              <w:rPr>
                <w:rFonts w:hint="eastAsia" w:ascii="仿宋_GB2312" w:hAnsi="Calibri" w:eastAsia="仿宋_GB2312"/>
                <w:sz w:val="20"/>
                <w:szCs w:val="28"/>
              </w:rPr>
              <w:t>将中心区2号路2号路打造成为中心区慢行系统的示范段，包括西段城市广场和东段林荫公园及中段步行体验等三部分的提升改造。</w:t>
            </w:r>
          </w:p>
        </w:tc>
        <w:tc>
          <w:tcPr>
            <w:tcW w:w="127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2015-2016</w:t>
            </w:r>
          </w:p>
        </w:tc>
        <w:tc>
          <w:tcPr>
            <w:tcW w:w="1180" w:type="dxa"/>
          </w:tcPr>
          <w:p>
            <w:pPr>
              <w:spacing w:line="0" w:lineRule="atLeast"/>
              <w:rPr>
                <w:rFonts w:ascii="仿宋_GB2312" w:hAnsi="Calibri" w:eastAsia="仿宋_GB2312"/>
                <w:sz w:val="20"/>
                <w:szCs w:val="28"/>
              </w:rPr>
            </w:pPr>
            <w:r>
              <w:rPr>
                <w:rFonts w:hint="eastAsia" w:ascii="仿宋_GB2312" w:hAnsi="Calibri" w:eastAsia="仿宋_GB2312"/>
                <w:sz w:val="20"/>
                <w:szCs w:val="28"/>
              </w:rPr>
              <w:t>890</w:t>
            </w:r>
          </w:p>
        </w:tc>
        <w:tc>
          <w:tcPr>
            <w:tcW w:w="1705" w:type="dxa"/>
          </w:tcPr>
          <w:p>
            <w:pPr>
              <w:spacing w:line="0" w:lineRule="atLeast"/>
              <w:rPr>
                <w:rFonts w:ascii="仿宋_GB2312" w:hAnsi="Calibri" w:eastAsia="仿宋_GB2312"/>
                <w:sz w:val="20"/>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绿道网贯通</w:t>
            </w:r>
          </w:p>
        </w:tc>
        <w:tc>
          <w:tcPr>
            <w:tcW w:w="2835" w:type="dxa"/>
          </w:tcPr>
          <w:p>
            <w:pPr>
              <w:spacing w:line="0" w:lineRule="atLeast"/>
              <w:rPr>
                <w:rFonts w:ascii="仿宋_GB2312" w:hAnsi="Calibri" w:eastAsia="仿宋_GB2312"/>
                <w:sz w:val="20"/>
                <w:szCs w:val="28"/>
              </w:rPr>
            </w:pPr>
            <w:r>
              <w:rPr>
                <w:rFonts w:hint="eastAsia" w:ascii="仿宋_GB2312" w:hAnsi="Calibri" w:eastAsia="仿宋_GB2312"/>
                <w:sz w:val="20"/>
                <w:szCs w:val="28"/>
              </w:rPr>
              <w:t>通过采用人行道借道画线、增加地面标识、新建沥青或混凝土绿道等设计手段来完善贯通现有绿道系统；同时通过增加绿道标识及公共目的地标识系统补充完善现有标识系统。</w:t>
            </w:r>
          </w:p>
        </w:tc>
        <w:tc>
          <w:tcPr>
            <w:tcW w:w="1276" w:type="dxa"/>
          </w:tcPr>
          <w:p>
            <w:pPr>
              <w:spacing w:line="0" w:lineRule="atLeast"/>
              <w:rPr>
                <w:rFonts w:ascii="仿宋_GB2312" w:hAnsi="Calibri" w:eastAsia="仿宋_GB2312"/>
                <w:sz w:val="20"/>
                <w:szCs w:val="28"/>
              </w:rPr>
            </w:pPr>
            <w:r>
              <w:rPr>
                <w:rFonts w:ascii="仿宋_GB2312" w:hAnsi="Calibri" w:eastAsia="仿宋_GB2312"/>
                <w:sz w:val="20"/>
                <w:szCs w:val="28"/>
              </w:rPr>
              <w:t>2015-2017</w:t>
            </w:r>
          </w:p>
        </w:tc>
        <w:tc>
          <w:tcPr>
            <w:tcW w:w="1180" w:type="dxa"/>
          </w:tcPr>
          <w:p>
            <w:pPr>
              <w:spacing w:line="0" w:lineRule="atLeast"/>
              <w:rPr>
                <w:rFonts w:ascii="仿宋_GB2312" w:hAnsi="Calibri" w:eastAsia="仿宋_GB2312"/>
                <w:sz w:val="20"/>
                <w:szCs w:val="28"/>
              </w:rPr>
            </w:pPr>
            <w:r>
              <w:rPr>
                <w:rFonts w:ascii="仿宋_GB2312" w:hAnsi="Calibri" w:eastAsia="仿宋_GB2312"/>
                <w:sz w:val="20"/>
                <w:szCs w:val="28"/>
              </w:rPr>
              <w:t>800</w:t>
            </w:r>
          </w:p>
        </w:tc>
        <w:tc>
          <w:tcPr>
            <w:tcW w:w="1705" w:type="dxa"/>
          </w:tcPr>
          <w:p>
            <w:pPr>
              <w:spacing w:line="0" w:lineRule="atLeast"/>
              <w:rPr>
                <w:rFonts w:ascii="仿宋_GB2312" w:hAnsi="Calibri" w:eastAsia="仿宋_GB2312"/>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深南路道路公园带建设</w:t>
            </w:r>
          </w:p>
        </w:tc>
        <w:tc>
          <w:tcPr>
            <w:tcW w:w="2835" w:type="dxa"/>
          </w:tcPr>
          <w:p>
            <w:pPr>
              <w:spacing w:line="0" w:lineRule="atLeast"/>
              <w:rPr>
                <w:rFonts w:ascii="仿宋_GB2312" w:hAnsi="Calibri" w:eastAsia="仿宋_GB2312"/>
                <w:sz w:val="20"/>
                <w:szCs w:val="28"/>
              </w:rPr>
            </w:pPr>
            <w:r>
              <w:rPr>
                <w:rFonts w:hint="eastAsia" w:ascii="仿宋_GB2312" w:hAnsi="Calibri" w:eastAsia="仿宋_GB2312"/>
                <w:sz w:val="20"/>
                <w:szCs w:val="28"/>
              </w:rPr>
              <w:t>在深南大道竹子林段两侧修建4座道路公园休闲带</w:t>
            </w:r>
          </w:p>
        </w:tc>
        <w:tc>
          <w:tcPr>
            <w:tcW w:w="127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2015-2017</w:t>
            </w:r>
          </w:p>
        </w:tc>
        <w:tc>
          <w:tcPr>
            <w:tcW w:w="1180" w:type="dxa"/>
          </w:tcPr>
          <w:p>
            <w:pPr>
              <w:spacing w:line="0" w:lineRule="atLeast"/>
              <w:rPr>
                <w:rFonts w:ascii="仿宋_GB2312" w:hAnsi="Calibri" w:eastAsia="仿宋_GB2312"/>
                <w:sz w:val="20"/>
                <w:szCs w:val="28"/>
              </w:rPr>
            </w:pPr>
            <w:r>
              <w:rPr>
                <w:rFonts w:hint="eastAsia" w:ascii="仿宋_GB2312" w:hAnsi="Calibri" w:eastAsia="仿宋_GB2312"/>
                <w:sz w:val="20"/>
                <w:szCs w:val="28"/>
              </w:rPr>
              <w:t>1500</w:t>
            </w:r>
          </w:p>
        </w:tc>
        <w:tc>
          <w:tcPr>
            <w:tcW w:w="1705" w:type="dxa"/>
          </w:tcPr>
          <w:p>
            <w:pPr>
              <w:spacing w:line="0" w:lineRule="atLeast"/>
              <w:rPr>
                <w:rFonts w:ascii="仿宋_GB2312" w:hAnsi="Calibri" w:eastAsia="仿宋_GB2312"/>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地铁3期工程绿化复绿</w:t>
            </w:r>
          </w:p>
        </w:tc>
        <w:tc>
          <w:tcPr>
            <w:tcW w:w="2835" w:type="dxa"/>
          </w:tcPr>
          <w:p>
            <w:pPr>
              <w:spacing w:line="0" w:lineRule="atLeast"/>
              <w:rPr>
                <w:rFonts w:ascii="仿宋_GB2312" w:hAnsi="Calibri" w:eastAsia="仿宋_GB2312"/>
                <w:sz w:val="20"/>
                <w:szCs w:val="28"/>
              </w:rPr>
            </w:pPr>
            <w:r>
              <w:rPr>
                <w:rFonts w:hint="eastAsia" w:ascii="仿宋_GB2312" w:hAnsi="Calibri" w:eastAsia="仿宋_GB2312"/>
                <w:sz w:val="20"/>
                <w:szCs w:val="28"/>
              </w:rPr>
              <w:t>对地铁3期建设中占用道路市政绿化进行复绿（约16万平方米）</w:t>
            </w:r>
          </w:p>
        </w:tc>
        <w:tc>
          <w:tcPr>
            <w:tcW w:w="127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2015-2017</w:t>
            </w:r>
          </w:p>
        </w:tc>
        <w:tc>
          <w:tcPr>
            <w:tcW w:w="1180" w:type="dxa"/>
          </w:tcPr>
          <w:p>
            <w:pPr>
              <w:spacing w:line="0" w:lineRule="atLeast"/>
              <w:rPr>
                <w:rFonts w:ascii="仿宋_GB2312" w:hAnsi="Calibri" w:eastAsia="仿宋_GB2312"/>
                <w:sz w:val="20"/>
                <w:szCs w:val="28"/>
              </w:rPr>
            </w:pPr>
            <w:r>
              <w:rPr>
                <w:rFonts w:hint="eastAsia" w:ascii="仿宋_GB2312" w:hAnsi="Calibri" w:eastAsia="仿宋_GB2312"/>
                <w:sz w:val="20"/>
                <w:szCs w:val="28"/>
              </w:rPr>
              <w:t>8000</w:t>
            </w:r>
          </w:p>
        </w:tc>
        <w:tc>
          <w:tcPr>
            <w:tcW w:w="1705" w:type="dxa"/>
          </w:tcPr>
          <w:p>
            <w:pPr>
              <w:spacing w:line="0" w:lineRule="atLeast"/>
              <w:rPr>
                <w:rFonts w:ascii="仿宋_GB2312" w:hAnsi="Calibri" w:eastAsia="仿宋_GB2312"/>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0" w:lineRule="atLeast"/>
              <w:rPr>
                <w:rFonts w:ascii="仿宋_GB2312" w:hAnsi="Calibri" w:eastAsia="仿宋_GB2312"/>
                <w:sz w:val="20"/>
                <w:szCs w:val="28"/>
              </w:rPr>
            </w:pPr>
            <w:r>
              <w:rPr>
                <w:rFonts w:hint="eastAsia" w:ascii="仿宋_GB2312" w:hAnsi="Calibri" w:eastAsia="仿宋_GB2312"/>
                <w:sz w:val="20"/>
                <w:szCs w:val="28"/>
              </w:rPr>
              <w:t>福田污水处理厂上盖屋顶绿化</w:t>
            </w:r>
          </w:p>
        </w:tc>
        <w:tc>
          <w:tcPr>
            <w:tcW w:w="2835" w:type="dxa"/>
          </w:tcPr>
          <w:p>
            <w:pPr>
              <w:spacing w:line="0" w:lineRule="atLeast"/>
              <w:rPr>
                <w:rFonts w:ascii="仿宋_GB2312" w:hAnsi="Calibri" w:eastAsia="仿宋_GB2312"/>
                <w:sz w:val="20"/>
                <w:szCs w:val="28"/>
              </w:rPr>
            </w:pPr>
            <w:r>
              <w:rPr>
                <w:rFonts w:hint="eastAsia" w:ascii="仿宋_GB2312" w:hAnsi="Calibri" w:eastAsia="仿宋_GB2312"/>
                <w:sz w:val="20"/>
                <w:szCs w:val="28"/>
              </w:rPr>
              <w:t>对福田污水处理厂上盖进行绿化美化，打造成为市民喜爱的大型体育公园，同时作为全市大型立体绿化示范点。</w:t>
            </w:r>
          </w:p>
        </w:tc>
        <w:tc>
          <w:tcPr>
            <w:tcW w:w="1276" w:type="dxa"/>
          </w:tcPr>
          <w:p>
            <w:pPr>
              <w:spacing w:line="0" w:lineRule="atLeast"/>
              <w:rPr>
                <w:rFonts w:ascii="仿宋_GB2312" w:hAnsi="Calibri" w:eastAsia="仿宋_GB2312"/>
                <w:sz w:val="20"/>
                <w:szCs w:val="28"/>
              </w:rPr>
            </w:pPr>
            <w:r>
              <w:rPr>
                <w:rFonts w:ascii="仿宋_GB2312" w:hAnsi="Calibri" w:eastAsia="仿宋_GB2312"/>
                <w:sz w:val="20"/>
                <w:szCs w:val="28"/>
              </w:rPr>
              <w:t>2016-2018</w:t>
            </w:r>
          </w:p>
        </w:tc>
        <w:tc>
          <w:tcPr>
            <w:tcW w:w="1180" w:type="dxa"/>
          </w:tcPr>
          <w:p>
            <w:pPr>
              <w:spacing w:line="0" w:lineRule="atLeast"/>
              <w:rPr>
                <w:rFonts w:ascii="仿宋_GB2312" w:hAnsi="Calibri" w:eastAsia="仿宋_GB2312"/>
                <w:sz w:val="20"/>
                <w:szCs w:val="28"/>
              </w:rPr>
            </w:pPr>
            <w:r>
              <w:rPr>
                <w:rFonts w:ascii="仿宋_GB2312" w:hAnsi="Calibri" w:eastAsia="仿宋_GB2312"/>
                <w:sz w:val="20"/>
                <w:szCs w:val="28"/>
              </w:rPr>
              <w:t>8000</w:t>
            </w:r>
          </w:p>
        </w:tc>
        <w:tc>
          <w:tcPr>
            <w:tcW w:w="1705" w:type="dxa"/>
          </w:tcPr>
          <w:p>
            <w:pPr>
              <w:spacing w:line="0" w:lineRule="atLeast"/>
              <w:rPr>
                <w:rFonts w:ascii="仿宋_GB2312" w:hAnsi="Calibri" w:eastAsia="仿宋_GB2312"/>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0" w:lineRule="atLeast"/>
              <w:rPr>
                <w:rFonts w:ascii="仿宋_GB2312" w:hAnsi="Calibri" w:eastAsia="仿宋_GB2312"/>
                <w:sz w:val="20"/>
                <w:szCs w:val="28"/>
              </w:rPr>
            </w:pPr>
            <w:r>
              <w:rPr>
                <w:rFonts w:hint="eastAsia" w:ascii="仿宋_GB2312" w:hAnsi="Calibri" w:eastAsia="仿宋_GB2312"/>
                <w:sz w:val="20"/>
                <w:szCs w:val="28"/>
              </w:rPr>
              <w:t>修建性详细规划方案</w:t>
            </w:r>
          </w:p>
        </w:tc>
        <w:tc>
          <w:tcPr>
            <w:tcW w:w="2835" w:type="dxa"/>
            <w:vAlign w:val="center"/>
          </w:tcPr>
          <w:p>
            <w:pPr>
              <w:spacing w:line="0" w:lineRule="atLeast"/>
              <w:rPr>
                <w:rFonts w:ascii="仿宋_GB2312" w:hAnsi="Calibri" w:eastAsia="仿宋_GB2312"/>
                <w:sz w:val="20"/>
                <w:szCs w:val="28"/>
              </w:rPr>
            </w:pPr>
            <w:r>
              <w:rPr>
                <w:rFonts w:hint="eastAsia" w:ascii="仿宋_GB2312" w:hAnsi="Calibri" w:eastAsia="仿宋_GB2312"/>
                <w:sz w:val="20"/>
                <w:szCs w:val="28"/>
              </w:rPr>
              <w:t>根据视觉系统规划（户外广告规划）的工作部署要求，对重要节点进行修建性详细规划方案设计，并推进方案实施</w:t>
            </w:r>
          </w:p>
        </w:tc>
        <w:tc>
          <w:tcPr>
            <w:tcW w:w="1276" w:type="dxa"/>
            <w:vAlign w:val="center"/>
          </w:tcPr>
          <w:p>
            <w:pPr>
              <w:spacing w:line="0" w:lineRule="atLeast"/>
              <w:rPr>
                <w:rFonts w:ascii="仿宋_GB2312" w:hAnsi="Calibri" w:eastAsia="仿宋_GB2312"/>
                <w:sz w:val="20"/>
                <w:szCs w:val="28"/>
              </w:rPr>
            </w:pPr>
            <w:r>
              <w:rPr>
                <w:rFonts w:hint="eastAsia" w:ascii="仿宋_GB2312" w:hAnsi="Calibri" w:eastAsia="仿宋_GB2312"/>
                <w:sz w:val="20"/>
                <w:szCs w:val="28"/>
              </w:rPr>
              <w:t>5年</w:t>
            </w:r>
          </w:p>
        </w:tc>
        <w:tc>
          <w:tcPr>
            <w:tcW w:w="1180" w:type="dxa"/>
            <w:vAlign w:val="center"/>
          </w:tcPr>
          <w:p>
            <w:pPr>
              <w:spacing w:line="0" w:lineRule="atLeast"/>
              <w:jc w:val="center"/>
              <w:rPr>
                <w:rFonts w:ascii="仿宋_GB2312" w:hAnsi="Calibri" w:eastAsia="仿宋_GB2312"/>
                <w:sz w:val="20"/>
                <w:szCs w:val="28"/>
              </w:rPr>
            </w:pPr>
            <w:r>
              <w:rPr>
                <w:rFonts w:hint="eastAsia" w:ascii="仿宋_GB2312" w:hAnsi="Calibri" w:eastAsia="仿宋_GB2312"/>
                <w:sz w:val="20"/>
                <w:szCs w:val="28"/>
              </w:rPr>
              <w:t>830</w:t>
            </w:r>
          </w:p>
        </w:tc>
        <w:tc>
          <w:tcPr>
            <w:tcW w:w="1705" w:type="dxa"/>
            <w:vAlign w:val="center"/>
          </w:tcPr>
          <w:p>
            <w:pPr>
              <w:spacing w:line="0" w:lineRule="atLeast"/>
              <w:jc w:val="center"/>
              <w:rPr>
                <w:rFonts w:ascii="仿宋_GB2312" w:hAnsi="Calibri" w:eastAsia="仿宋_GB2312"/>
                <w:sz w:val="20"/>
                <w:szCs w:val="28"/>
              </w:rPr>
            </w:pPr>
            <w:r>
              <w:rPr>
                <w:rFonts w:hint="eastAsia" w:ascii="仿宋_GB2312" w:hAnsi="Calibri" w:eastAsia="仿宋_GB2312"/>
                <w:sz w:val="20"/>
                <w:szCs w:val="28"/>
              </w:rPr>
              <w:t>深圳市户外广告管理办法</w:t>
            </w:r>
          </w:p>
          <w:p>
            <w:pPr>
              <w:spacing w:line="0" w:lineRule="atLeast"/>
              <w:jc w:val="center"/>
              <w:rPr>
                <w:rFonts w:ascii="仿宋_GB2312" w:hAnsi="Calibri" w:eastAsia="仿宋_GB2312"/>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0" w:lineRule="atLeast"/>
              <w:rPr>
                <w:rFonts w:ascii="仿宋_GB2312" w:hAnsi="Calibri" w:eastAsia="仿宋_GB2312"/>
                <w:sz w:val="20"/>
                <w:szCs w:val="28"/>
              </w:rPr>
            </w:pPr>
            <w:r>
              <w:rPr>
                <w:rFonts w:hint="eastAsia" w:ascii="仿宋_GB2312" w:hAnsi="Calibri" w:eastAsia="仿宋_GB2312"/>
                <w:sz w:val="20"/>
                <w:szCs w:val="28"/>
              </w:rPr>
              <w:t>文明养犬宣传箱</w:t>
            </w:r>
          </w:p>
        </w:tc>
        <w:tc>
          <w:tcPr>
            <w:tcW w:w="2835" w:type="dxa"/>
            <w:vAlign w:val="center"/>
          </w:tcPr>
          <w:p>
            <w:pPr>
              <w:spacing w:line="0" w:lineRule="atLeast"/>
              <w:rPr>
                <w:rFonts w:ascii="仿宋_GB2312" w:hAnsi="Calibri" w:eastAsia="仿宋_GB2312"/>
                <w:sz w:val="20"/>
                <w:szCs w:val="28"/>
              </w:rPr>
            </w:pPr>
            <w:r>
              <w:rPr>
                <w:rFonts w:hint="eastAsia" w:ascii="仿宋_GB2312" w:hAnsi="Calibri" w:eastAsia="仿宋_GB2312"/>
                <w:sz w:val="20"/>
                <w:szCs w:val="28"/>
              </w:rPr>
              <w:t>安装在福田区各物业小区内</w:t>
            </w:r>
          </w:p>
        </w:tc>
        <w:tc>
          <w:tcPr>
            <w:tcW w:w="1276" w:type="dxa"/>
            <w:vAlign w:val="center"/>
          </w:tcPr>
          <w:p>
            <w:pPr>
              <w:spacing w:line="0" w:lineRule="atLeast"/>
              <w:rPr>
                <w:rFonts w:ascii="仿宋_GB2312" w:hAnsi="Calibri" w:eastAsia="仿宋_GB2312"/>
                <w:sz w:val="20"/>
                <w:szCs w:val="28"/>
              </w:rPr>
            </w:pPr>
            <w:r>
              <w:rPr>
                <w:rFonts w:hint="eastAsia" w:ascii="仿宋_GB2312" w:hAnsi="Calibri" w:eastAsia="仿宋_GB2312"/>
                <w:sz w:val="20"/>
                <w:szCs w:val="28"/>
              </w:rPr>
              <w:t>5年</w:t>
            </w:r>
          </w:p>
        </w:tc>
        <w:tc>
          <w:tcPr>
            <w:tcW w:w="1180" w:type="dxa"/>
          </w:tcPr>
          <w:p>
            <w:pPr>
              <w:spacing w:line="0" w:lineRule="atLeast"/>
              <w:ind w:firstLine="400" w:firstLineChars="200"/>
              <w:rPr>
                <w:rFonts w:ascii="仿宋_GB2312" w:hAnsi="Calibri" w:eastAsia="仿宋_GB2312"/>
                <w:sz w:val="20"/>
                <w:szCs w:val="28"/>
              </w:rPr>
            </w:pPr>
            <w:r>
              <w:rPr>
                <w:rFonts w:hint="eastAsia" w:ascii="仿宋_GB2312" w:hAnsi="Calibri" w:eastAsia="仿宋_GB2312"/>
                <w:sz w:val="20"/>
                <w:szCs w:val="28"/>
              </w:rPr>
              <w:t>95</w:t>
            </w:r>
          </w:p>
        </w:tc>
        <w:tc>
          <w:tcPr>
            <w:tcW w:w="1705" w:type="dxa"/>
          </w:tcPr>
          <w:p>
            <w:pPr>
              <w:spacing w:line="0" w:lineRule="atLeast"/>
              <w:rPr>
                <w:rFonts w:ascii="仿宋_GB2312" w:hAnsi="Calibri" w:eastAsia="仿宋_GB2312"/>
                <w:sz w:val="20"/>
                <w:szCs w:val="28"/>
              </w:rPr>
            </w:pPr>
            <w:r>
              <w:rPr>
                <w:rFonts w:hint="eastAsia" w:ascii="仿宋_GB2312" w:hAnsi="Calibri" w:eastAsia="仿宋_GB2312"/>
                <w:sz w:val="20"/>
                <w:szCs w:val="28"/>
              </w:rPr>
              <w:t>《深圳市养犬管理条例》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公厕艺术化装饰工程</w:t>
            </w:r>
          </w:p>
        </w:tc>
        <w:tc>
          <w:tcPr>
            <w:tcW w:w="2835" w:type="dxa"/>
          </w:tcPr>
          <w:p>
            <w:pPr>
              <w:autoSpaceDE w:val="0"/>
              <w:autoSpaceDN w:val="0"/>
              <w:spacing w:line="0" w:lineRule="atLeast"/>
              <w:jc w:val="left"/>
              <w:rPr>
                <w:rFonts w:ascii="仿宋_GB2312" w:hAnsi="Calibri" w:eastAsia="仿宋_GB2312"/>
                <w:sz w:val="20"/>
                <w:szCs w:val="28"/>
              </w:rPr>
            </w:pPr>
            <w:r>
              <w:rPr>
                <w:rFonts w:hint="eastAsia" w:ascii="仿宋_GB2312" w:hAnsi="Calibri" w:eastAsia="仿宋_GB2312"/>
                <w:sz w:val="20"/>
                <w:szCs w:val="28"/>
              </w:rPr>
              <w:t>对具备条件的公厕进行艺术化装饰和处理，体现精品意识、作品意识，按照国际一流标准，加强建筑的艺术化设计、装饰。建设美观大方、功能完善、环境协调的城市基础设施。</w:t>
            </w:r>
          </w:p>
        </w:tc>
        <w:tc>
          <w:tcPr>
            <w:tcW w:w="1276"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2015年—2020年</w:t>
            </w:r>
          </w:p>
        </w:tc>
        <w:tc>
          <w:tcPr>
            <w:tcW w:w="1180"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450万元</w:t>
            </w:r>
          </w:p>
        </w:tc>
        <w:tc>
          <w:tcPr>
            <w:tcW w:w="1705"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《深圳市城市管理局关于加强我市生活垃圾收运管理和公厕艺术化装饰工作的通知》（深城管通【2014】144号）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提高垃圾转运站设施配置标准（41座）</w:t>
            </w:r>
          </w:p>
        </w:tc>
        <w:tc>
          <w:tcPr>
            <w:tcW w:w="2835"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主要配置垃圾站点除臭设备，同时将压缩垃圾污水进行预处理达到环水部门要求后排入市政管网。</w:t>
            </w:r>
          </w:p>
        </w:tc>
        <w:tc>
          <w:tcPr>
            <w:tcW w:w="1276"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2015年—2020年</w:t>
            </w:r>
          </w:p>
        </w:tc>
        <w:tc>
          <w:tcPr>
            <w:tcW w:w="1180"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1200万元</w:t>
            </w:r>
          </w:p>
        </w:tc>
        <w:tc>
          <w:tcPr>
            <w:tcW w:w="1705"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《深圳市城市管理局关于加强我市生活垃圾收运管理和公厕艺术化装饰工作的通知》深城管通【2014】144号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生活垃圾密闭化收运体系建设</w:t>
            </w:r>
          </w:p>
        </w:tc>
        <w:tc>
          <w:tcPr>
            <w:tcW w:w="2835"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规范垃圾收集点、密闭桶、垃圾清运车辆等设施设备的设置和管理，推进垃圾收运全过程密闭化，杜绝垃圾收运过程垃圾裸露、散发臭气、沿途洒漏等现</w:t>
            </w:r>
          </w:p>
          <w:p>
            <w:pPr>
              <w:widowControl/>
              <w:spacing w:line="0" w:lineRule="atLeast"/>
              <w:rPr>
                <w:rFonts w:ascii="仿宋_GB2312" w:hAnsi="Calibri" w:eastAsia="仿宋_GB2312"/>
                <w:sz w:val="20"/>
                <w:szCs w:val="28"/>
              </w:rPr>
            </w:pPr>
            <w:r>
              <w:rPr>
                <w:rFonts w:hint="eastAsia" w:ascii="仿宋_GB2312" w:hAnsi="Calibri" w:eastAsia="仿宋_GB2312"/>
                <w:sz w:val="20"/>
                <w:szCs w:val="28"/>
              </w:rPr>
              <w:t>象。</w:t>
            </w:r>
          </w:p>
        </w:tc>
        <w:tc>
          <w:tcPr>
            <w:tcW w:w="1276"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2015年—2020年</w:t>
            </w:r>
          </w:p>
        </w:tc>
        <w:tc>
          <w:tcPr>
            <w:tcW w:w="1180"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300万∕年</w:t>
            </w:r>
          </w:p>
        </w:tc>
        <w:tc>
          <w:tcPr>
            <w:tcW w:w="1705" w:type="dxa"/>
          </w:tcPr>
          <w:p>
            <w:pPr>
              <w:widowControl/>
              <w:spacing w:line="0" w:lineRule="atLeast"/>
              <w:rPr>
                <w:rFonts w:ascii="仿宋_GB2312" w:hAnsi="Calibri" w:eastAsia="仿宋_GB2312"/>
                <w:sz w:val="20"/>
                <w:szCs w:val="28"/>
              </w:rPr>
            </w:pPr>
            <w:r>
              <w:rPr>
                <w:rFonts w:hint="eastAsia" w:ascii="仿宋_GB2312" w:hAnsi="Calibri" w:eastAsia="仿宋_GB2312"/>
                <w:sz w:val="20"/>
                <w:szCs w:val="28"/>
              </w:rPr>
              <w:t>《关于进一步加强一流国际化城市环境建设的决定》（深发【2014】11号）、《深圳市生活垃圾收运密闭化水平提升工作方案》》（深城管【2015】31号）</w:t>
            </w:r>
          </w:p>
        </w:tc>
      </w:tr>
    </w:tbl>
    <w:p>
      <w:pPr>
        <w:spacing w:line="360" w:lineRule="auto"/>
        <w:rPr>
          <w:rFonts w:ascii="仿宋_GB2312" w:eastAsia="仿宋_GB2312"/>
          <w:sz w:val="28"/>
          <w:szCs w:val="28"/>
        </w:rPr>
      </w:pPr>
    </w:p>
    <w:sectPr>
      <w:footerReference r:id="rId3" w:type="default"/>
      <w:type w:val="continuous"/>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8"/>
      </w:rPr>
      <w:instrText xml:space="preserve"> PAGE </w:instrText>
    </w:r>
    <w:r>
      <w:fldChar w:fldCharType="separate"/>
    </w:r>
    <w:r>
      <w:rPr>
        <w:rStyle w:val="18"/>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DQyYjdlNzU3NGZmZGMwMzVjYzk4MmUyMGVmNjM4MjAifQ=="/>
  </w:docVars>
  <w:rsids>
    <w:rsidRoot w:val="008F1FEB"/>
    <w:rsid w:val="00001A77"/>
    <w:rsid w:val="00004B13"/>
    <w:rsid w:val="00006729"/>
    <w:rsid w:val="00007BFA"/>
    <w:rsid w:val="000106CF"/>
    <w:rsid w:val="00017850"/>
    <w:rsid w:val="00021312"/>
    <w:rsid w:val="00030362"/>
    <w:rsid w:val="0003529F"/>
    <w:rsid w:val="00037C03"/>
    <w:rsid w:val="00037D06"/>
    <w:rsid w:val="0004620E"/>
    <w:rsid w:val="00051AA9"/>
    <w:rsid w:val="000562A0"/>
    <w:rsid w:val="000615A4"/>
    <w:rsid w:val="00063B09"/>
    <w:rsid w:val="000704AD"/>
    <w:rsid w:val="00072535"/>
    <w:rsid w:val="00080C05"/>
    <w:rsid w:val="00082CB5"/>
    <w:rsid w:val="00094E05"/>
    <w:rsid w:val="000A3166"/>
    <w:rsid w:val="000A33F1"/>
    <w:rsid w:val="000A393C"/>
    <w:rsid w:val="000A43A9"/>
    <w:rsid w:val="000B24E6"/>
    <w:rsid w:val="000B4341"/>
    <w:rsid w:val="000B5AD5"/>
    <w:rsid w:val="000B638E"/>
    <w:rsid w:val="000C3A98"/>
    <w:rsid w:val="000C6282"/>
    <w:rsid w:val="000C76F6"/>
    <w:rsid w:val="000D0F40"/>
    <w:rsid w:val="000D12C5"/>
    <w:rsid w:val="000D1849"/>
    <w:rsid w:val="000D64A5"/>
    <w:rsid w:val="000E1F96"/>
    <w:rsid w:val="000E21F2"/>
    <w:rsid w:val="000E2C9B"/>
    <w:rsid w:val="001051D4"/>
    <w:rsid w:val="0011019E"/>
    <w:rsid w:val="001131FC"/>
    <w:rsid w:val="001136E0"/>
    <w:rsid w:val="001151F2"/>
    <w:rsid w:val="00121137"/>
    <w:rsid w:val="00123A1F"/>
    <w:rsid w:val="00125A4D"/>
    <w:rsid w:val="00130925"/>
    <w:rsid w:val="00131BA0"/>
    <w:rsid w:val="00131CBA"/>
    <w:rsid w:val="00131DD2"/>
    <w:rsid w:val="00135648"/>
    <w:rsid w:val="001362F5"/>
    <w:rsid w:val="00136C49"/>
    <w:rsid w:val="0014366E"/>
    <w:rsid w:val="00146AFC"/>
    <w:rsid w:val="001507C5"/>
    <w:rsid w:val="001515E6"/>
    <w:rsid w:val="0015330B"/>
    <w:rsid w:val="0016183C"/>
    <w:rsid w:val="0016377F"/>
    <w:rsid w:val="00166C80"/>
    <w:rsid w:val="00167A6E"/>
    <w:rsid w:val="00174C18"/>
    <w:rsid w:val="00175720"/>
    <w:rsid w:val="00176615"/>
    <w:rsid w:val="001767AA"/>
    <w:rsid w:val="00182502"/>
    <w:rsid w:val="00184232"/>
    <w:rsid w:val="001843A7"/>
    <w:rsid w:val="00187BEB"/>
    <w:rsid w:val="001A01A0"/>
    <w:rsid w:val="001A649C"/>
    <w:rsid w:val="001A75C5"/>
    <w:rsid w:val="001B50AD"/>
    <w:rsid w:val="001B737F"/>
    <w:rsid w:val="001B749D"/>
    <w:rsid w:val="001C1B9C"/>
    <w:rsid w:val="001C204F"/>
    <w:rsid w:val="001C3068"/>
    <w:rsid w:val="001C6804"/>
    <w:rsid w:val="001D0714"/>
    <w:rsid w:val="001E0A65"/>
    <w:rsid w:val="001E2E8E"/>
    <w:rsid w:val="001E469E"/>
    <w:rsid w:val="001E6B38"/>
    <w:rsid w:val="001F3135"/>
    <w:rsid w:val="001F36D5"/>
    <w:rsid w:val="001F3CDF"/>
    <w:rsid w:val="001F521C"/>
    <w:rsid w:val="001F6494"/>
    <w:rsid w:val="001F69D2"/>
    <w:rsid w:val="00200384"/>
    <w:rsid w:val="002004AA"/>
    <w:rsid w:val="00201A16"/>
    <w:rsid w:val="00207CFF"/>
    <w:rsid w:val="0021071B"/>
    <w:rsid w:val="00210B68"/>
    <w:rsid w:val="00210C7A"/>
    <w:rsid w:val="00210EB1"/>
    <w:rsid w:val="0021260D"/>
    <w:rsid w:val="002226D2"/>
    <w:rsid w:val="00226018"/>
    <w:rsid w:val="00232602"/>
    <w:rsid w:val="002345DC"/>
    <w:rsid w:val="002356A0"/>
    <w:rsid w:val="00237EF2"/>
    <w:rsid w:val="00247347"/>
    <w:rsid w:val="00253863"/>
    <w:rsid w:val="002558AF"/>
    <w:rsid w:val="0025636F"/>
    <w:rsid w:val="0026262E"/>
    <w:rsid w:val="00264B15"/>
    <w:rsid w:val="0026690B"/>
    <w:rsid w:val="00273AAB"/>
    <w:rsid w:val="00281EE6"/>
    <w:rsid w:val="002855AF"/>
    <w:rsid w:val="002859CF"/>
    <w:rsid w:val="002875C9"/>
    <w:rsid w:val="002903B3"/>
    <w:rsid w:val="00292A24"/>
    <w:rsid w:val="00295166"/>
    <w:rsid w:val="002955ED"/>
    <w:rsid w:val="00297E6E"/>
    <w:rsid w:val="002A2E0A"/>
    <w:rsid w:val="002B04F6"/>
    <w:rsid w:val="002B08D4"/>
    <w:rsid w:val="002B1912"/>
    <w:rsid w:val="002B287F"/>
    <w:rsid w:val="002B39F2"/>
    <w:rsid w:val="002C2BE6"/>
    <w:rsid w:val="002C42D4"/>
    <w:rsid w:val="002C4FA3"/>
    <w:rsid w:val="002C6961"/>
    <w:rsid w:val="002C75F6"/>
    <w:rsid w:val="002D0F8B"/>
    <w:rsid w:val="002D25B4"/>
    <w:rsid w:val="002D2996"/>
    <w:rsid w:val="002D4BB1"/>
    <w:rsid w:val="002D58F8"/>
    <w:rsid w:val="002D69EE"/>
    <w:rsid w:val="002E04E5"/>
    <w:rsid w:val="002E139A"/>
    <w:rsid w:val="002E59C0"/>
    <w:rsid w:val="002F25C2"/>
    <w:rsid w:val="002F2863"/>
    <w:rsid w:val="002F4E68"/>
    <w:rsid w:val="002F53D7"/>
    <w:rsid w:val="002F6906"/>
    <w:rsid w:val="002F6CC4"/>
    <w:rsid w:val="0030295F"/>
    <w:rsid w:val="00304EA9"/>
    <w:rsid w:val="003106ED"/>
    <w:rsid w:val="00324661"/>
    <w:rsid w:val="003253D9"/>
    <w:rsid w:val="00334243"/>
    <w:rsid w:val="00334D88"/>
    <w:rsid w:val="003372E5"/>
    <w:rsid w:val="00343B40"/>
    <w:rsid w:val="003473BF"/>
    <w:rsid w:val="003500CE"/>
    <w:rsid w:val="00353256"/>
    <w:rsid w:val="00353592"/>
    <w:rsid w:val="003543C6"/>
    <w:rsid w:val="00354A97"/>
    <w:rsid w:val="003564C0"/>
    <w:rsid w:val="003568F6"/>
    <w:rsid w:val="003611E3"/>
    <w:rsid w:val="00364CF7"/>
    <w:rsid w:val="003669C7"/>
    <w:rsid w:val="003669EB"/>
    <w:rsid w:val="00366EA9"/>
    <w:rsid w:val="00370127"/>
    <w:rsid w:val="00370E15"/>
    <w:rsid w:val="00377E36"/>
    <w:rsid w:val="00381D34"/>
    <w:rsid w:val="00382BEF"/>
    <w:rsid w:val="00383078"/>
    <w:rsid w:val="00383689"/>
    <w:rsid w:val="00384E77"/>
    <w:rsid w:val="00391D94"/>
    <w:rsid w:val="0039346F"/>
    <w:rsid w:val="00393587"/>
    <w:rsid w:val="003946FD"/>
    <w:rsid w:val="00395A6D"/>
    <w:rsid w:val="00396878"/>
    <w:rsid w:val="00397A0C"/>
    <w:rsid w:val="00397E90"/>
    <w:rsid w:val="003A0AE7"/>
    <w:rsid w:val="003A1555"/>
    <w:rsid w:val="003A2F28"/>
    <w:rsid w:val="003A3BB8"/>
    <w:rsid w:val="003A4DA3"/>
    <w:rsid w:val="003A7EEA"/>
    <w:rsid w:val="003B1E10"/>
    <w:rsid w:val="003B5DB0"/>
    <w:rsid w:val="003B6A24"/>
    <w:rsid w:val="003B70C6"/>
    <w:rsid w:val="003C45EA"/>
    <w:rsid w:val="003C6E6C"/>
    <w:rsid w:val="003D1B03"/>
    <w:rsid w:val="003D5970"/>
    <w:rsid w:val="003E1E3A"/>
    <w:rsid w:val="003E4944"/>
    <w:rsid w:val="003E4F8B"/>
    <w:rsid w:val="003E673B"/>
    <w:rsid w:val="003F28DA"/>
    <w:rsid w:val="003F3F3C"/>
    <w:rsid w:val="00401DCA"/>
    <w:rsid w:val="0040369D"/>
    <w:rsid w:val="004054B8"/>
    <w:rsid w:val="00411F5B"/>
    <w:rsid w:val="00415B49"/>
    <w:rsid w:val="00416DA5"/>
    <w:rsid w:val="0042265B"/>
    <w:rsid w:val="00423FA9"/>
    <w:rsid w:val="0042645A"/>
    <w:rsid w:val="0042742E"/>
    <w:rsid w:val="00431473"/>
    <w:rsid w:val="00434AF0"/>
    <w:rsid w:val="00436846"/>
    <w:rsid w:val="00437E30"/>
    <w:rsid w:val="00443977"/>
    <w:rsid w:val="00443A1C"/>
    <w:rsid w:val="00445F55"/>
    <w:rsid w:val="004464B2"/>
    <w:rsid w:val="00447BA2"/>
    <w:rsid w:val="004511A3"/>
    <w:rsid w:val="0045399C"/>
    <w:rsid w:val="0046119C"/>
    <w:rsid w:val="004664A3"/>
    <w:rsid w:val="004673F4"/>
    <w:rsid w:val="00467D9E"/>
    <w:rsid w:val="00470B29"/>
    <w:rsid w:val="00474EA8"/>
    <w:rsid w:val="00476E90"/>
    <w:rsid w:val="004776DF"/>
    <w:rsid w:val="0048132A"/>
    <w:rsid w:val="00482DAD"/>
    <w:rsid w:val="0048329B"/>
    <w:rsid w:val="00483AFE"/>
    <w:rsid w:val="0048772B"/>
    <w:rsid w:val="00487892"/>
    <w:rsid w:val="00491761"/>
    <w:rsid w:val="004942BD"/>
    <w:rsid w:val="004A0CAA"/>
    <w:rsid w:val="004A1792"/>
    <w:rsid w:val="004A3664"/>
    <w:rsid w:val="004A3CF6"/>
    <w:rsid w:val="004B3FEF"/>
    <w:rsid w:val="004B4162"/>
    <w:rsid w:val="004B48A5"/>
    <w:rsid w:val="004B4A55"/>
    <w:rsid w:val="004B6870"/>
    <w:rsid w:val="004B7301"/>
    <w:rsid w:val="004B7A42"/>
    <w:rsid w:val="004C0317"/>
    <w:rsid w:val="004C18E6"/>
    <w:rsid w:val="004C2492"/>
    <w:rsid w:val="004C283F"/>
    <w:rsid w:val="004C32DD"/>
    <w:rsid w:val="004C3D70"/>
    <w:rsid w:val="004C5B5E"/>
    <w:rsid w:val="004D1EB0"/>
    <w:rsid w:val="004D26E2"/>
    <w:rsid w:val="004D4AF2"/>
    <w:rsid w:val="004E2763"/>
    <w:rsid w:val="004E27F1"/>
    <w:rsid w:val="004E3C6F"/>
    <w:rsid w:val="004E62F8"/>
    <w:rsid w:val="004F1790"/>
    <w:rsid w:val="004F73EA"/>
    <w:rsid w:val="005012B1"/>
    <w:rsid w:val="005018AA"/>
    <w:rsid w:val="00501DC6"/>
    <w:rsid w:val="00501F3B"/>
    <w:rsid w:val="005049BB"/>
    <w:rsid w:val="005111E1"/>
    <w:rsid w:val="005147CF"/>
    <w:rsid w:val="00516CF8"/>
    <w:rsid w:val="00522ED6"/>
    <w:rsid w:val="005235E2"/>
    <w:rsid w:val="00524A11"/>
    <w:rsid w:val="00527CA9"/>
    <w:rsid w:val="0053434A"/>
    <w:rsid w:val="00535259"/>
    <w:rsid w:val="0053706F"/>
    <w:rsid w:val="005377CF"/>
    <w:rsid w:val="00544165"/>
    <w:rsid w:val="00544ABE"/>
    <w:rsid w:val="005460C1"/>
    <w:rsid w:val="005536CA"/>
    <w:rsid w:val="00555266"/>
    <w:rsid w:val="00556BF7"/>
    <w:rsid w:val="0056312C"/>
    <w:rsid w:val="00566BB8"/>
    <w:rsid w:val="00570F3B"/>
    <w:rsid w:val="00571477"/>
    <w:rsid w:val="0057171C"/>
    <w:rsid w:val="005751F8"/>
    <w:rsid w:val="00575465"/>
    <w:rsid w:val="00582046"/>
    <w:rsid w:val="0058365A"/>
    <w:rsid w:val="0058396D"/>
    <w:rsid w:val="00585F97"/>
    <w:rsid w:val="005860E2"/>
    <w:rsid w:val="00587C12"/>
    <w:rsid w:val="00591820"/>
    <w:rsid w:val="00591E79"/>
    <w:rsid w:val="005929C2"/>
    <w:rsid w:val="00595447"/>
    <w:rsid w:val="005A0C6B"/>
    <w:rsid w:val="005A0CC1"/>
    <w:rsid w:val="005A31D2"/>
    <w:rsid w:val="005A4525"/>
    <w:rsid w:val="005A4EA1"/>
    <w:rsid w:val="005A64F8"/>
    <w:rsid w:val="005B0F3B"/>
    <w:rsid w:val="005B38D6"/>
    <w:rsid w:val="005B79DF"/>
    <w:rsid w:val="005C2BC8"/>
    <w:rsid w:val="005C3BF7"/>
    <w:rsid w:val="005C4444"/>
    <w:rsid w:val="005C464B"/>
    <w:rsid w:val="005C4ED2"/>
    <w:rsid w:val="005C5E0A"/>
    <w:rsid w:val="005C6BC8"/>
    <w:rsid w:val="005C7254"/>
    <w:rsid w:val="005D66E9"/>
    <w:rsid w:val="005D6D28"/>
    <w:rsid w:val="005E0042"/>
    <w:rsid w:val="005E1D2A"/>
    <w:rsid w:val="005E434C"/>
    <w:rsid w:val="005F0DFF"/>
    <w:rsid w:val="005F4A97"/>
    <w:rsid w:val="005F59C8"/>
    <w:rsid w:val="006020E9"/>
    <w:rsid w:val="006101B1"/>
    <w:rsid w:val="00612E95"/>
    <w:rsid w:val="00613137"/>
    <w:rsid w:val="006146D7"/>
    <w:rsid w:val="00614FEF"/>
    <w:rsid w:val="00616D10"/>
    <w:rsid w:val="00617371"/>
    <w:rsid w:val="00624352"/>
    <w:rsid w:val="006247FA"/>
    <w:rsid w:val="006311C9"/>
    <w:rsid w:val="00635069"/>
    <w:rsid w:val="00636EA2"/>
    <w:rsid w:val="00641B6D"/>
    <w:rsid w:val="00651143"/>
    <w:rsid w:val="006558F0"/>
    <w:rsid w:val="006620C4"/>
    <w:rsid w:val="0066446A"/>
    <w:rsid w:val="00665521"/>
    <w:rsid w:val="00665B06"/>
    <w:rsid w:val="00667200"/>
    <w:rsid w:val="00671286"/>
    <w:rsid w:val="00677D46"/>
    <w:rsid w:val="0068593F"/>
    <w:rsid w:val="00687796"/>
    <w:rsid w:val="006909A7"/>
    <w:rsid w:val="006A164C"/>
    <w:rsid w:val="006A2E07"/>
    <w:rsid w:val="006A4369"/>
    <w:rsid w:val="006A5598"/>
    <w:rsid w:val="006B61AB"/>
    <w:rsid w:val="006C21C6"/>
    <w:rsid w:val="006C75C7"/>
    <w:rsid w:val="006D2DCA"/>
    <w:rsid w:val="006D4EB3"/>
    <w:rsid w:val="006E314A"/>
    <w:rsid w:val="006F0142"/>
    <w:rsid w:val="006F08F0"/>
    <w:rsid w:val="006F1049"/>
    <w:rsid w:val="006F219F"/>
    <w:rsid w:val="006F7CBB"/>
    <w:rsid w:val="00703110"/>
    <w:rsid w:val="00703F4A"/>
    <w:rsid w:val="00705C3C"/>
    <w:rsid w:val="007072A2"/>
    <w:rsid w:val="0072031E"/>
    <w:rsid w:val="00720527"/>
    <w:rsid w:val="00721864"/>
    <w:rsid w:val="00722A51"/>
    <w:rsid w:val="0072322D"/>
    <w:rsid w:val="007248C4"/>
    <w:rsid w:val="0072760F"/>
    <w:rsid w:val="00733A69"/>
    <w:rsid w:val="0073673E"/>
    <w:rsid w:val="00741F62"/>
    <w:rsid w:val="00746474"/>
    <w:rsid w:val="007513B0"/>
    <w:rsid w:val="00753F11"/>
    <w:rsid w:val="00760A33"/>
    <w:rsid w:val="0076253E"/>
    <w:rsid w:val="0076257E"/>
    <w:rsid w:val="0076712D"/>
    <w:rsid w:val="00771B57"/>
    <w:rsid w:val="00772FC0"/>
    <w:rsid w:val="00774E19"/>
    <w:rsid w:val="00775D32"/>
    <w:rsid w:val="00777EC8"/>
    <w:rsid w:val="007811BC"/>
    <w:rsid w:val="00791BA9"/>
    <w:rsid w:val="007A368A"/>
    <w:rsid w:val="007A3C8F"/>
    <w:rsid w:val="007A52C3"/>
    <w:rsid w:val="007A5C3E"/>
    <w:rsid w:val="007B2673"/>
    <w:rsid w:val="007C7C97"/>
    <w:rsid w:val="007D0296"/>
    <w:rsid w:val="007D30DB"/>
    <w:rsid w:val="007D39C4"/>
    <w:rsid w:val="007D46B1"/>
    <w:rsid w:val="007D73DB"/>
    <w:rsid w:val="007E0081"/>
    <w:rsid w:val="007E02E8"/>
    <w:rsid w:val="007E3570"/>
    <w:rsid w:val="007F019B"/>
    <w:rsid w:val="007F053F"/>
    <w:rsid w:val="007F3DEA"/>
    <w:rsid w:val="007F65D5"/>
    <w:rsid w:val="007F7442"/>
    <w:rsid w:val="008003FE"/>
    <w:rsid w:val="0080045E"/>
    <w:rsid w:val="008031A5"/>
    <w:rsid w:val="00803743"/>
    <w:rsid w:val="00803EE1"/>
    <w:rsid w:val="00804D36"/>
    <w:rsid w:val="00820305"/>
    <w:rsid w:val="00822971"/>
    <w:rsid w:val="0082585F"/>
    <w:rsid w:val="00825D94"/>
    <w:rsid w:val="00830A89"/>
    <w:rsid w:val="00832614"/>
    <w:rsid w:val="00832A67"/>
    <w:rsid w:val="00833968"/>
    <w:rsid w:val="00844521"/>
    <w:rsid w:val="008447B3"/>
    <w:rsid w:val="00851092"/>
    <w:rsid w:val="008558B3"/>
    <w:rsid w:val="008569F4"/>
    <w:rsid w:val="0086272D"/>
    <w:rsid w:val="008716A3"/>
    <w:rsid w:val="00875F72"/>
    <w:rsid w:val="0087766B"/>
    <w:rsid w:val="00881CCF"/>
    <w:rsid w:val="0088240A"/>
    <w:rsid w:val="008835E0"/>
    <w:rsid w:val="00884C09"/>
    <w:rsid w:val="00884D9E"/>
    <w:rsid w:val="00887ABF"/>
    <w:rsid w:val="0089112C"/>
    <w:rsid w:val="008915D6"/>
    <w:rsid w:val="0089247A"/>
    <w:rsid w:val="00894619"/>
    <w:rsid w:val="008A0704"/>
    <w:rsid w:val="008A60E9"/>
    <w:rsid w:val="008A73F7"/>
    <w:rsid w:val="008B0626"/>
    <w:rsid w:val="008B30C2"/>
    <w:rsid w:val="008B370A"/>
    <w:rsid w:val="008B3772"/>
    <w:rsid w:val="008C3049"/>
    <w:rsid w:val="008C4F06"/>
    <w:rsid w:val="008C7FBE"/>
    <w:rsid w:val="008D1196"/>
    <w:rsid w:val="008D6D61"/>
    <w:rsid w:val="008E184F"/>
    <w:rsid w:val="008E2CAF"/>
    <w:rsid w:val="008E3829"/>
    <w:rsid w:val="008E78F8"/>
    <w:rsid w:val="008F0002"/>
    <w:rsid w:val="008F1FEB"/>
    <w:rsid w:val="008F5422"/>
    <w:rsid w:val="008F7741"/>
    <w:rsid w:val="00900992"/>
    <w:rsid w:val="00906530"/>
    <w:rsid w:val="00906A9E"/>
    <w:rsid w:val="009102A8"/>
    <w:rsid w:val="009227DD"/>
    <w:rsid w:val="00922D9D"/>
    <w:rsid w:val="00925735"/>
    <w:rsid w:val="0092598C"/>
    <w:rsid w:val="00925D54"/>
    <w:rsid w:val="00926F77"/>
    <w:rsid w:val="009277BD"/>
    <w:rsid w:val="0092793F"/>
    <w:rsid w:val="00932C37"/>
    <w:rsid w:val="00937066"/>
    <w:rsid w:val="00937736"/>
    <w:rsid w:val="009378CD"/>
    <w:rsid w:val="00941207"/>
    <w:rsid w:val="00945D2C"/>
    <w:rsid w:val="009467FF"/>
    <w:rsid w:val="00946D4C"/>
    <w:rsid w:val="00951F84"/>
    <w:rsid w:val="00953C22"/>
    <w:rsid w:val="009552B8"/>
    <w:rsid w:val="00956D72"/>
    <w:rsid w:val="00956FFC"/>
    <w:rsid w:val="00961964"/>
    <w:rsid w:val="00961A07"/>
    <w:rsid w:val="0096398E"/>
    <w:rsid w:val="00970101"/>
    <w:rsid w:val="0097028C"/>
    <w:rsid w:val="00977B7E"/>
    <w:rsid w:val="009806FC"/>
    <w:rsid w:val="009840BE"/>
    <w:rsid w:val="00985309"/>
    <w:rsid w:val="00986495"/>
    <w:rsid w:val="00990C8A"/>
    <w:rsid w:val="009929BC"/>
    <w:rsid w:val="00992CEC"/>
    <w:rsid w:val="009950EE"/>
    <w:rsid w:val="009956C5"/>
    <w:rsid w:val="00995995"/>
    <w:rsid w:val="009971EB"/>
    <w:rsid w:val="00997F3E"/>
    <w:rsid w:val="009B0402"/>
    <w:rsid w:val="009B3331"/>
    <w:rsid w:val="009C5380"/>
    <w:rsid w:val="009C60BD"/>
    <w:rsid w:val="009C63CC"/>
    <w:rsid w:val="009C6AFF"/>
    <w:rsid w:val="009C6FB3"/>
    <w:rsid w:val="009D0570"/>
    <w:rsid w:val="009D34F8"/>
    <w:rsid w:val="009E1BA0"/>
    <w:rsid w:val="009F3369"/>
    <w:rsid w:val="009F623D"/>
    <w:rsid w:val="009F71B9"/>
    <w:rsid w:val="00A00D52"/>
    <w:rsid w:val="00A015A0"/>
    <w:rsid w:val="00A01EA3"/>
    <w:rsid w:val="00A021EB"/>
    <w:rsid w:val="00A05CEF"/>
    <w:rsid w:val="00A12D09"/>
    <w:rsid w:val="00A1712D"/>
    <w:rsid w:val="00A23188"/>
    <w:rsid w:val="00A33242"/>
    <w:rsid w:val="00A33EDA"/>
    <w:rsid w:val="00A45B5A"/>
    <w:rsid w:val="00A46D3E"/>
    <w:rsid w:val="00A472DA"/>
    <w:rsid w:val="00A47946"/>
    <w:rsid w:val="00A527B2"/>
    <w:rsid w:val="00A53C34"/>
    <w:rsid w:val="00A56A50"/>
    <w:rsid w:val="00A605F2"/>
    <w:rsid w:val="00A618CA"/>
    <w:rsid w:val="00A70F44"/>
    <w:rsid w:val="00A71DEF"/>
    <w:rsid w:val="00A72751"/>
    <w:rsid w:val="00A75CEA"/>
    <w:rsid w:val="00A809AF"/>
    <w:rsid w:val="00A81292"/>
    <w:rsid w:val="00A82C73"/>
    <w:rsid w:val="00A85E14"/>
    <w:rsid w:val="00A877E8"/>
    <w:rsid w:val="00A90A8C"/>
    <w:rsid w:val="00A96912"/>
    <w:rsid w:val="00AA0121"/>
    <w:rsid w:val="00AA0E88"/>
    <w:rsid w:val="00AA1E2D"/>
    <w:rsid w:val="00AA4B6C"/>
    <w:rsid w:val="00AB0699"/>
    <w:rsid w:val="00AB0E0A"/>
    <w:rsid w:val="00AB269C"/>
    <w:rsid w:val="00AB3CFC"/>
    <w:rsid w:val="00AC05D2"/>
    <w:rsid w:val="00AC341D"/>
    <w:rsid w:val="00AC763C"/>
    <w:rsid w:val="00AD4EF4"/>
    <w:rsid w:val="00AD6B26"/>
    <w:rsid w:val="00AD7514"/>
    <w:rsid w:val="00AD7997"/>
    <w:rsid w:val="00AE3CF5"/>
    <w:rsid w:val="00AE3EAA"/>
    <w:rsid w:val="00AE7432"/>
    <w:rsid w:val="00AF171F"/>
    <w:rsid w:val="00AF19B7"/>
    <w:rsid w:val="00AF26D0"/>
    <w:rsid w:val="00AF4341"/>
    <w:rsid w:val="00AF6F24"/>
    <w:rsid w:val="00B0072E"/>
    <w:rsid w:val="00B0416C"/>
    <w:rsid w:val="00B112BC"/>
    <w:rsid w:val="00B13486"/>
    <w:rsid w:val="00B13F0C"/>
    <w:rsid w:val="00B15668"/>
    <w:rsid w:val="00B15C13"/>
    <w:rsid w:val="00B17542"/>
    <w:rsid w:val="00B22D79"/>
    <w:rsid w:val="00B24302"/>
    <w:rsid w:val="00B30351"/>
    <w:rsid w:val="00B3253E"/>
    <w:rsid w:val="00B328C5"/>
    <w:rsid w:val="00B348FD"/>
    <w:rsid w:val="00B3576D"/>
    <w:rsid w:val="00B41558"/>
    <w:rsid w:val="00B42924"/>
    <w:rsid w:val="00B43363"/>
    <w:rsid w:val="00B434F5"/>
    <w:rsid w:val="00B47AB2"/>
    <w:rsid w:val="00B5024E"/>
    <w:rsid w:val="00B61388"/>
    <w:rsid w:val="00B619DB"/>
    <w:rsid w:val="00B61B71"/>
    <w:rsid w:val="00B63CC8"/>
    <w:rsid w:val="00B70AB9"/>
    <w:rsid w:val="00B72343"/>
    <w:rsid w:val="00B73A76"/>
    <w:rsid w:val="00B812C4"/>
    <w:rsid w:val="00B82B6E"/>
    <w:rsid w:val="00B840D8"/>
    <w:rsid w:val="00B85875"/>
    <w:rsid w:val="00B85BE0"/>
    <w:rsid w:val="00B86F21"/>
    <w:rsid w:val="00B916A6"/>
    <w:rsid w:val="00B92DFB"/>
    <w:rsid w:val="00B96825"/>
    <w:rsid w:val="00B96D0B"/>
    <w:rsid w:val="00B97F30"/>
    <w:rsid w:val="00BA19DA"/>
    <w:rsid w:val="00BA2ECC"/>
    <w:rsid w:val="00BA406B"/>
    <w:rsid w:val="00BA761A"/>
    <w:rsid w:val="00BB0220"/>
    <w:rsid w:val="00BB02DB"/>
    <w:rsid w:val="00BB1C58"/>
    <w:rsid w:val="00BB4283"/>
    <w:rsid w:val="00BB430D"/>
    <w:rsid w:val="00BD007E"/>
    <w:rsid w:val="00BD055F"/>
    <w:rsid w:val="00BD11F0"/>
    <w:rsid w:val="00BD6580"/>
    <w:rsid w:val="00BD7343"/>
    <w:rsid w:val="00BE1EEC"/>
    <w:rsid w:val="00BE4C69"/>
    <w:rsid w:val="00BF136C"/>
    <w:rsid w:val="00BF1EB0"/>
    <w:rsid w:val="00BF24A6"/>
    <w:rsid w:val="00BF26EC"/>
    <w:rsid w:val="00BF35E6"/>
    <w:rsid w:val="00BF6993"/>
    <w:rsid w:val="00C07D72"/>
    <w:rsid w:val="00C132E7"/>
    <w:rsid w:val="00C23605"/>
    <w:rsid w:val="00C23F6D"/>
    <w:rsid w:val="00C25779"/>
    <w:rsid w:val="00C30299"/>
    <w:rsid w:val="00C32C59"/>
    <w:rsid w:val="00C3386A"/>
    <w:rsid w:val="00C3555E"/>
    <w:rsid w:val="00C35C98"/>
    <w:rsid w:val="00C417A3"/>
    <w:rsid w:val="00C43444"/>
    <w:rsid w:val="00C459D1"/>
    <w:rsid w:val="00C45F0E"/>
    <w:rsid w:val="00C51216"/>
    <w:rsid w:val="00C55C2F"/>
    <w:rsid w:val="00C57125"/>
    <w:rsid w:val="00C57796"/>
    <w:rsid w:val="00C64559"/>
    <w:rsid w:val="00C65B82"/>
    <w:rsid w:val="00C676BE"/>
    <w:rsid w:val="00C70244"/>
    <w:rsid w:val="00C73C85"/>
    <w:rsid w:val="00C77631"/>
    <w:rsid w:val="00C77FE7"/>
    <w:rsid w:val="00C83428"/>
    <w:rsid w:val="00C8466D"/>
    <w:rsid w:val="00C864C8"/>
    <w:rsid w:val="00C93840"/>
    <w:rsid w:val="00C94E38"/>
    <w:rsid w:val="00C97222"/>
    <w:rsid w:val="00C972B7"/>
    <w:rsid w:val="00CA1344"/>
    <w:rsid w:val="00CA6607"/>
    <w:rsid w:val="00CB24AA"/>
    <w:rsid w:val="00CB3558"/>
    <w:rsid w:val="00CC1739"/>
    <w:rsid w:val="00CC19BA"/>
    <w:rsid w:val="00CC3C7B"/>
    <w:rsid w:val="00CC7A3A"/>
    <w:rsid w:val="00CD3EB7"/>
    <w:rsid w:val="00CD5FF9"/>
    <w:rsid w:val="00CD64EE"/>
    <w:rsid w:val="00CD7E3A"/>
    <w:rsid w:val="00CE0313"/>
    <w:rsid w:val="00CE0964"/>
    <w:rsid w:val="00CE17CB"/>
    <w:rsid w:val="00CE1808"/>
    <w:rsid w:val="00CE2C37"/>
    <w:rsid w:val="00CE38D7"/>
    <w:rsid w:val="00CE4C4E"/>
    <w:rsid w:val="00CE5C9C"/>
    <w:rsid w:val="00CF2823"/>
    <w:rsid w:val="00CF4219"/>
    <w:rsid w:val="00CF63AE"/>
    <w:rsid w:val="00D05C9D"/>
    <w:rsid w:val="00D066CA"/>
    <w:rsid w:val="00D06CA9"/>
    <w:rsid w:val="00D100E3"/>
    <w:rsid w:val="00D1011E"/>
    <w:rsid w:val="00D133AD"/>
    <w:rsid w:val="00D147EC"/>
    <w:rsid w:val="00D16C6F"/>
    <w:rsid w:val="00D20813"/>
    <w:rsid w:val="00D24895"/>
    <w:rsid w:val="00D356B0"/>
    <w:rsid w:val="00D36C31"/>
    <w:rsid w:val="00D37825"/>
    <w:rsid w:val="00D4154E"/>
    <w:rsid w:val="00D43250"/>
    <w:rsid w:val="00D44C1E"/>
    <w:rsid w:val="00D46D97"/>
    <w:rsid w:val="00D4704C"/>
    <w:rsid w:val="00D522F5"/>
    <w:rsid w:val="00D52463"/>
    <w:rsid w:val="00D547C8"/>
    <w:rsid w:val="00D57427"/>
    <w:rsid w:val="00D61EE9"/>
    <w:rsid w:val="00D62075"/>
    <w:rsid w:val="00D67E47"/>
    <w:rsid w:val="00D71896"/>
    <w:rsid w:val="00D726F8"/>
    <w:rsid w:val="00D734BC"/>
    <w:rsid w:val="00D737E7"/>
    <w:rsid w:val="00D74276"/>
    <w:rsid w:val="00D7579B"/>
    <w:rsid w:val="00D7625A"/>
    <w:rsid w:val="00D76D47"/>
    <w:rsid w:val="00D7735E"/>
    <w:rsid w:val="00D82A58"/>
    <w:rsid w:val="00D90A0A"/>
    <w:rsid w:val="00D941DB"/>
    <w:rsid w:val="00D94565"/>
    <w:rsid w:val="00D95120"/>
    <w:rsid w:val="00D952DE"/>
    <w:rsid w:val="00D96E11"/>
    <w:rsid w:val="00DA1005"/>
    <w:rsid w:val="00DA63BD"/>
    <w:rsid w:val="00DB1163"/>
    <w:rsid w:val="00DB1E68"/>
    <w:rsid w:val="00DB4708"/>
    <w:rsid w:val="00DB4F5C"/>
    <w:rsid w:val="00DB617F"/>
    <w:rsid w:val="00DB7FF4"/>
    <w:rsid w:val="00DC327A"/>
    <w:rsid w:val="00DC40BF"/>
    <w:rsid w:val="00DC54B6"/>
    <w:rsid w:val="00DC5770"/>
    <w:rsid w:val="00DD05B6"/>
    <w:rsid w:val="00DD14FC"/>
    <w:rsid w:val="00DD177B"/>
    <w:rsid w:val="00DD32FD"/>
    <w:rsid w:val="00DD4185"/>
    <w:rsid w:val="00DD4F15"/>
    <w:rsid w:val="00DE3C3F"/>
    <w:rsid w:val="00DE41D1"/>
    <w:rsid w:val="00DE6859"/>
    <w:rsid w:val="00DE6DC0"/>
    <w:rsid w:val="00DF0D7E"/>
    <w:rsid w:val="00DF1FA9"/>
    <w:rsid w:val="00DF60E3"/>
    <w:rsid w:val="00DF6689"/>
    <w:rsid w:val="00E01D4B"/>
    <w:rsid w:val="00E04142"/>
    <w:rsid w:val="00E0550C"/>
    <w:rsid w:val="00E105B8"/>
    <w:rsid w:val="00E1711F"/>
    <w:rsid w:val="00E202FD"/>
    <w:rsid w:val="00E20C5C"/>
    <w:rsid w:val="00E23B9B"/>
    <w:rsid w:val="00E2743C"/>
    <w:rsid w:val="00E3066B"/>
    <w:rsid w:val="00E32868"/>
    <w:rsid w:val="00E40737"/>
    <w:rsid w:val="00E4438C"/>
    <w:rsid w:val="00E451BC"/>
    <w:rsid w:val="00E47A8F"/>
    <w:rsid w:val="00E5281D"/>
    <w:rsid w:val="00E617A3"/>
    <w:rsid w:val="00E7051E"/>
    <w:rsid w:val="00E71E25"/>
    <w:rsid w:val="00E724A3"/>
    <w:rsid w:val="00E73E32"/>
    <w:rsid w:val="00E765A5"/>
    <w:rsid w:val="00E76F2A"/>
    <w:rsid w:val="00E85AC1"/>
    <w:rsid w:val="00E911D6"/>
    <w:rsid w:val="00EA1203"/>
    <w:rsid w:val="00EA2194"/>
    <w:rsid w:val="00EA41C7"/>
    <w:rsid w:val="00EA4D60"/>
    <w:rsid w:val="00EA4F53"/>
    <w:rsid w:val="00EA7B61"/>
    <w:rsid w:val="00EB3864"/>
    <w:rsid w:val="00EB415A"/>
    <w:rsid w:val="00EB54CC"/>
    <w:rsid w:val="00EB62E2"/>
    <w:rsid w:val="00EC026D"/>
    <w:rsid w:val="00EC0A2C"/>
    <w:rsid w:val="00EC219F"/>
    <w:rsid w:val="00EC2255"/>
    <w:rsid w:val="00EC3FA0"/>
    <w:rsid w:val="00ED014C"/>
    <w:rsid w:val="00ED05A5"/>
    <w:rsid w:val="00ED1195"/>
    <w:rsid w:val="00ED49D2"/>
    <w:rsid w:val="00ED4FE7"/>
    <w:rsid w:val="00ED5BA7"/>
    <w:rsid w:val="00EE16DF"/>
    <w:rsid w:val="00EE18C6"/>
    <w:rsid w:val="00EE1DAF"/>
    <w:rsid w:val="00EE3186"/>
    <w:rsid w:val="00EF0620"/>
    <w:rsid w:val="00EF2D8A"/>
    <w:rsid w:val="00EF2E14"/>
    <w:rsid w:val="00EF7090"/>
    <w:rsid w:val="00F032A2"/>
    <w:rsid w:val="00F045D4"/>
    <w:rsid w:val="00F06034"/>
    <w:rsid w:val="00F0648D"/>
    <w:rsid w:val="00F118A6"/>
    <w:rsid w:val="00F123AB"/>
    <w:rsid w:val="00F16C62"/>
    <w:rsid w:val="00F17A39"/>
    <w:rsid w:val="00F233EB"/>
    <w:rsid w:val="00F37CC9"/>
    <w:rsid w:val="00F43D79"/>
    <w:rsid w:val="00F52FDF"/>
    <w:rsid w:val="00F54885"/>
    <w:rsid w:val="00F57216"/>
    <w:rsid w:val="00F61BCE"/>
    <w:rsid w:val="00F63642"/>
    <w:rsid w:val="00F66972"/>
    <w:rsid w:val="00F70B13"/>
    <w:rsid w:val="00F71292"/>
    <w:rsid w:val="00F722B7"/>
    <w:rsid w:val="00F75043"/>
    <w:rsid w:val="00F75F10"/>
    <w:rsid w:val="00F950A3"/>
    <w:rsid w:val="00F97D3F"/>
    <w:rsid w:val="00FA331D"/>
    <w:rsid w:val="00FA3AAD"/>
    <w:rsid w:val="00FA4960"/>
    <w:rsid w:val="00FA6C15"/>
    <w:rsid w:val="00FC4800"/>
    <w:rsid w:val="00FC7805"/>
    <w:rsid w:val="00FD6C2F"/>
    <w:rsid w:val="00FE3182"/>
    <w:rsid w:val="00FE63A2"/>
    <w:rsid w:val="00FE79B4"/>
    <w:rsid w:val="00FF6729"/>
    <w:rsid w:val="00FF7F62"/>
    <w:rsid w:val="04184E35"/>
    <w:rsid w:val="0CC61DC9"/>
    <w:rsid w:val="11A400C8"/>
    <w:rsid w:val="13D63140"/>
    <w:rsid w:val="238D5705"/>
    <w:rsid w:val="277E1989"/>
    <w:rsid w:val="2B1A7427"/>
    <w:rsid w:val="2C47571A"/>
    <w:rsid w:val="2E7944BD"/>
    <w:rsid w:val="3B760E5D"/>
    <w:rsid w:val="4B503F16"/>
    <w:rsid w:val="4D8D0823"/>
    <w:rsid w:val="50D63F23"/>
    <w:rsid w:val="572D3107"/>
    <w:rsid w:val="5C492BAF"/>
    <w:rsid w:val="5DC34974"/>
    <w:rsid w:val="6A842A8B"/>
    <w:rsid w:val="6C5F698E"/>
    <w:rsid w:val="6FBB25A3"/>
    <w:rsid w:val="73CF666C"/>
    <w:rsid w:val="746B74AC"/>
    <w:rsid w:val="748D4832"/>
    <w:rsid w:val="759C66AE"/>
    <w:rsid w:val="76625D36"/>
    <w:rsid w:val="7DF73733"/>
    <w:rsid w:val="7E24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annotation text"/>
    <w:basedOn w:val="1"/>
    <w:link w:val="28"/>
    <w:uiPriority w:val="0"/>
    <w:pPr>
      <w:widowControl/>
      <w:adjustRightInd w:val="0"/>
      <w:snapToGrid w:val="0"/>
      <w:spacing w:after="200"/>
      <w:jc w:val="left"/>
    </w:pPr>
    <w:rPr>
      <w:rFonts w:ascii="Tahoma" w:hAnsi="Tahoma" w:eastAsia="微软雅黑"/>
      <w:kern w:val="0"/>
      <w:sz w:val="22"/>
      <w:szCs w:val="22"/>
    </w:rPr>
  </w:style>
  <w:style w:type="paragraph" w:styleId="4">
    <w:name w:val="Body Text"/>
    <w:basedOn w:val="1"/>
    <w:link w:val="29"/>
    <w:uiPriority w:val="0"/>
    <w:pPr>
      <w:spacing w:after="120"/>
    </w:pPr>
  </w:style>
  <w:style w:type="paragraph" w:styleId="5">
    <w:name w:val="Body Text Indent"/>
    <w:basedOn w:val="1"/>
    <w:uiPriority w:val="0"/>
    <w:pPr>
      <w:spacing w:after="120"/>
      <w:ind w:left="420" w:leftChars="200"/>
    </w:pPr>
  </w:style>
  <w:style w:type="paragraph" w:styleId="6">
    <w:name w:val="toc 3"/>
    <w:basedOn w:val="1"/>
    <w:next w:val="1"/>
    <w:semiHidden/>
    <w:uiPriority w:val="0"/>
    <w:pPr>
      <w:ind w:left="420"/>
      <w:jc w:val="left"/>
    </w:pPr>
    <w:rPr>
      <w:i/>
      <w:iCs/>
      <w:sz w:val="20"/>
      <w:szCs w:val="20"/>
    </w:rPr>
  </w:style>
  <w:style w:type="paragraph" w:styleId="7">
    <w:name w:val="Body Text Indent 2"/>
    <w:basedOn w:val="1"/>
    <w:qFormat/>
    <w:uiPriority w:val="0"/>
    <w:pPr>
      <w:ind w:firstLine="645"/>
    </w:pPr>
    <w:rPr>
      <w:rFonts w:ascii="仿宋_GB2312" w:eastAsia="仿宋_GB2312"/>
      <w:sz w:val="28"/>
      <w:szCs w:val="32"/>
    </w:rPr>
  </w:style>
  <w:style w:type="paragraph" w:styleId="8">
    <w:name w:val="Balloon Text"/>
    <w:basedOn w:val="1"/>
    <w:link w:val="33"/>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middleDot" w:pos="9060"/>
      </w:tabs>
      <w:spacing w:line="0" w:lineRule="atLeast"/>
      <w:ind w:right="210" w:rightChars="100"/>
      <w:jc w:val="left"/>
    </w:pPr>
    <w:rPr>
      <w:rFonts w:ascii="仿宋_GB2312" w:eastAsia="仿宋_GB2312"/>
      <w:b/>
      <w:bCs/>
      <w:caps/>
      <w:sz w:val="30"/>
      <w:szCs w:val="30"/>
    </w:rPr>
  </w:style>
  <w:style w:type="paragraph" w:styleId="12">
    <w:name w:val="Body Text Indent 3"/>
    <w:basedOn w:val="1"/>
    <w:uiPriority w:val="0"/>
    <w:pPr>
      <w:spacing w:after="120"/>
      <w:ind w:left="420" w:leftChars="200"/>
    </w:pPr>
    <w:rPr>
      <w:sz w:val="16"/>
      <w:szCs w:val="16"/>
    </w:rPr>
  </w:style>
  <w:style w:type="paragraph" w:styleId="13">
    <w:name w:val="toc 2"/>
    <w:basedOn w:val="1"/>
    <w:next w:val="1"/>
    <w:semiHidden/>
    <w:uiPriority w:val="0"/>
    <w:pPr>
      <w:ind w:left="210"/>
      <w:jc w:val="left"/>
    </w:pPr>
    <w:rPr>
      <w:smallCaps/>
      <w:sz w:val="20"/>
      <w:szCs w:val="20"/>
    </w:rPr>
  </w:style>
  <w:style w:type="paragraph" w:styleId="14">
    <w:name w:val="Normal (Web)"/>
    <w:basedOn w:val="1"/>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qFormat/>
    <w:uiPriority w:val="0"/>
    <w:rPr>
      <w:color w:val="CC0033"/>
    </w:rPr>
  </w:style>
  <w:style w:type="character" w:styleId="20">
    <w:name w:val="Hyperlink"/>
    <w:uiPriority w:val="0"/>
    <w:rPr>
      <w:color w:val="0000FF"/>
      <w:u w:val="single"/>
    </w:rPr>
  </w:style>
  <w:style w:type="paragraph" w:customStyle="1" w:styleId="21">
    <w:name w:val="Char Char Char Char Char Char"/>
    <w:basedOn w:val="1"/>
    <w:uiPriority w:val="0"/>
    <w:rPr>
      <w:szCs w:val="20"/>
    </w:rPr>
  </w:style>
  <w:style w:type="paragraph" w:customStyle="1" w:styleId="22">
    <w:name w:val="Char2 Char Char Char Char Char Char"/>
    <w:basedOn w:val="1"/>
    <w:qFormat/>
    <w:uiPriority w:val="0"/>
    <w:rPr>
      <w:szCs w:val="20"/>
    </w:rPr>
  </w:style>
  <w:style w:type="paragraph" w:customStyle="1" w:styleId="23">
    <w:name w:val="Char Char Char Char Char Char Char Char Char Char"/>
    <w:basedOn w:val="1"/>
    <w:uiPriority w:val="0"/>
  </w:style>
  <w:style w:type="paragraph" w:customStyle="1" w:styleId="24">
    <w:name w:val="ww-"/>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1"/>
    <w:basedOn w:val="1"/>
    <w:uiPriority w:val="0"/>
    <w:rPr>
      <w:rFonts w:ascii="Tahoma" w:hAnsi="Tahoma"/>
      <w:sz w:val="24"/>
      <w:szCs w:val="20"/>
    </w:rPr>
  </w:style>
  <w:style w:type="paragraph" w:customStyle="1" w:styleId="26">
    <w:name w:val="Char"/>
    <w:basedOn w:val="1"/>
    <w:semiHidden/>
    <w:uiPriority w:val="0"/>
    <w:pPr>
      <w:widowControl/>
      <w:spacing w:after="160" w:line="240" w:lineRule="exact"/>
      <w:ind w:firstLine="560" w:firstLineChars="200"/>
      <w:jc w:val="left"/>
    </w:pPr>
    <w:rPr>
      <w:rFonts w:ascii="Verdana" w:hAnsi="Verdana" w:eastAsia="仿宋_GB2312"/>
      <w:szCs w:val="20"/>
      <w:lang w:eastAsia="en-US"/>
    </w:rPr>
  </w:style>
  <w:style w:type="character" w:customStyle="1" w:styleId="27">
    <w:name w:val="ca-1"/>
    <w:uiPriority w:val="0"/>
    <w:rPr>
      <w:rFonts w:hint="default" w:ascii="Times New Roman" w:hAnsi="Times New Roman" w:cs="Times New Roman"/>
    </w:rPr>
  </w:style>
  <w:style w:type="character" w:customStyle="1" w:styleId="28">
    <w:name w:val="批注文字 Char"/>
    <w:link w:val="3"/>
    <w:uiPriority w:val="0"/>
    <w:rPr>
      <w:rFonts w:ascii="Tahoma" w:hAnsi="Tahoma" w:eastAsia="微软雅黑"/>
      <w:sz w:val="22"/>
      <w:szCs w:val="22"/>
    </w:rPr>
  </w:style>
  <w:style w:type="character" w:customStyle="1" w:styleId="29">
    <w:name w:val="正文文本 Char"/>
    <w:link w:val="4"/>
    <w:uiPriority w:val="0"/>
    <w:rPr>
      <w:kern w:val="2"/>
      <w:sz w:val="21"/>
      <w:szCs w:val="24"/>
    </w:rPr>
  </w:style>
  <w:style w:type="character" w:customStyle="1" w:styleId="30">
    <w:name w:val="defaultfont1"/>
    <w:basedOn w:val="17"/>
    <w:uiPriority w:val="0"/>
  </w:style>
  <w:style w:type="character" w:customStyle="1" w:styleId="31">
    <w:name w:val="chword"/>
    <w:basedOn w:val="17"/>
    <w:uiPriority w:val="0"/>
  </w:style>
  <w:style w:type="character" w:customStyle="1" w:styleId="32">
    <w:name w:val="infodetail"/>
    <w:basedOn w:val="17"/>
    <w:uiPriority w:val="0"/>
  </w:style>
  <w:style w:type="character" w:customStyle="1" w:styleId="33">
    <w:name w:val="批注框文本 Char"/>
    <w:basedOn w:val="17"/>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10DF6-3AE1-4124-851B-4F802A1515F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15574</Words>
  <Characters>16079</Characters>
  <Lines>124</Lines>
  <Paragraphs>35</Paragraphs>
  <TotalTime>24</TotalTime>
  <ScaleCrop>false</ScaleCrop>
  <LinksUpToDate>false</LinksUpToDate>
  <CharactersWithSpaces>16169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2015-09-29T02:20:00Z</dcterms:created>
  <dc:creator>微软用户</dc:creator>
  <cp:lastModifiedBy>-Jus</cp:lastModifiedBy>
  <cp:lastPrinted>2010-08-24T08:23:00Z</cp:lastPrinted>
  <dcterms:modified xsi:type="dcterms:W3CDTF">2022-08-04T03:19:42Z</dcterms:modified>
  <dc:title>福田区城市管理与服务</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6C50EEEE7B6343EFBFA4E4B2A3533C62</vt:lpwstr>
  </property>
</Properties>
</file>