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宋体"/>
          <w:sz w:val="44"/>
          <w:szCs w:val="44"/>
        </w:rPr>
      </w:pPr>
      <w:r>
        <w:rPr>
          <w:rFonts w:hint="eastAsia" w:ascii="仿宋_GB2312" w:hAnsi="仿宋_GB2312" w:eastAsia="仿宋_GB2312" w:cs="仿宋_GB2312"/>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宋体"/>
          <w:sz w:val="44"/>
          <w:szCs w:val="44"/>
        </w:rPr>
      </w:pPr>
    </w:p>
    <w:p>
      <w:pPr>
        <w:pStyle w:val="4"/>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福田区2020年度</w:t>
      </w:r>
      <w:r>
        <w:rPr>
          <w:rFonts w:hint="eastAsia" w:ascii="方正小标宋简体" w:hAnsi="方正小标宋简体" w:eastAsia="方正小标宋简体" w:cs="方正小标宋简体"/>
          <w:sz w:val="44"/>
          <w:szCs w:val="44"/>
          <w:lang w:eastAsia="zh-CN"/>
        </w:rPr>
        <w:t>工商业联合会</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其他工作</w:t>
      </w:r>
      <w:r>
        <w:rPr>
          <w:rFonts w:hint="eastAsia" w:ascii="方正小标宋简体" w:hAnsi="方正小标宋简体" w:eastAsia="方正小标宋简体" w:cs="方正小标宋简体"/>
          <w:sz w:val="44"/>
          <w:szCs w:val="44"/>
        </w:rPr>
        <w:t>项目绩效评价报告</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spacing w:line="560"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项目名称：其他工作项目</w:t>
      </w:r>
    </w:p>
    <w:p>
      <w:pPr>
        <w:spacing w:line="560" w:lineRule="exact"/>
        <w:ind w:firstLine="960" w:firstLineChars="300"/>
        <w:rPr>
          <w:rFonts w:ascii="仿宋_GB2312" w:eastAsia="仿宋_GB2312" w:cs="仿宋_GB2312"/>
          <w:sz w:val="32"/>
          <w:szCs w:val="32"/>
        </w:rPr>
      </w:pPr>
      <w:r>
        <w:rPr>
          <w:rFonts w:hint="eastAsia" w:ascii="仿宋_GB2312" w:eastAsia="仿宋_GB2312" w:cs="仿宋_GB2312"/>
          <w:sz w:val="32"/>
          <w:szCs w:val="32"/>
        </w:rPr>
        <w:t>被评价单位：深圳市福田区工商业联合会</w:t>
      </w:r>
    </w:p>
    <w:p>
      <w:pPr>
        <w:spacing w:line="560" w:lineRule="exact"/>
        <w:ind w:firstLine="960" w:firstLineChars="300"/>
        <w:rPr>
          <w:rFonts w:hint="eastAsia" w:ascii="仿宋_GB2312" w:eastAsia="仿宋_GB2312" w:cs="仿宋_GB2312"/>
          <w:sz w:val="32"/>
          <w:szCs w:val="32"/>
        </w:rPr>
      </w:pPr>
      <w:r>
        <w:rPr>
          <w:rFonts w:hint="eastAsia" w:ascii="仿宋_GB2312" w:eastAsia="仿宋_GB2312" w:cs="仿宋_GB2312"/>
          <w:sz w:val="32"/>
          <w:szCs w:val="32"/>
        </w:rPr>
        <w:t>评价时间：2021年</w:t>
      </w: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宋体" w:eastAsia="楷体_GB2312"/>
          <w:sz w:val="36"/>
          <w:szCs w:val="36"/>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为强化绩效管理责任，提高财政资源配置效率和使用效益，根据《中共中央国务院关于全面实施预算绩效管理的意见》（中发〔2018〕34号）、《项目支出绩效评价管理办法》（财预〔2020〕10号）和《福田区财政局关于开展2020年度部门评价工作的通知》（福财〔2021〕55号）等文件有关要求，结合深圳市福田区财政局预算绩效管理工作部署，深圳市福田区工商业联合会（以下简称“福田区工商联”）组织开展2020年度部门评价，对“其他工作”项目开展的决策、项目管理、项目效益进行客观、公正的评价，综合分析形成绩效评价报告。具体评价情况如下：</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outlineLvl w:val="0"/>
        <w:rPr>
          <w:rFonts w:ascii="黑体" w:eastAsia="黑体"/>
          <w:sz w:val="32"/>
          <w:szCs w:val="32"/>
        </w:rPr>
      </w:pPr>
      <w:r>
        <w:rPr>
          <w:rFonts w:hint="eastAsia" w:ascii="黑体" w:eastAsia="黑体" w:cs="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（一）项目背景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福田区工商联主要职能包括：积极参政议政，宣传国家的方针政策。组织会员参加区政府召开座谈会，协助政府管非公经济企业；为会员提供信息、科技、法律等咨询服务；组织会员举办和参加各种市内外活动；巩固和扩大与香港、澳门特区和世界各国的交流合作；承办政府和有关部门委托的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福田工商联根据部门履职需求，设立其他工作项目。通过开展企业家理想信念教育培训、春茗会、工商联界别座谈会、调研、主题峰会、港澳青年交流等活动，确保企业发展的正确方向，牢固树立政治意识，助力优化营商环境，促进非公经济两个健康发展。</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经由深圳市财政局核准，2020年福田区工商联其他工作项目年初预算为162万元，全年预算数153.5万元，实际支出153.44万元，预算执行率为99.96%，主要用于区总商会成立专委会工作经费，调研经费，宣报道经费，建立企业信息大数据库，开办福田商协院，《福田工商联》杂志编辑费，刊物稿费，网站网络维护费，聘请法律顾问，楼宇统战工作经费等任务。</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Times New Roman"/>
          <w:sz w:val="28"/>
          <w:szCs w:val="22"/>
        </w:rPr>
      </w:pPr>
      <w:r>
        <w:rPr>
          <w:rFonts w:hint="eastAsia" w:ascii="黑体" w:hAnsi="黑体" w:eastAsia="黑体" w:cs="Times New Roman"/>
          <w:sz w:val="28"/>
          <w:szCs w:val="22"/>
        </w:rPr>
        <w:t>表</w:t>
      </w:r>
      <w:r>
        <w:rPr>
          <w:rFonts w:hint="eastAsia" w:ascii="黑体" w:hAnsi="黑体" w:eastAsia="黑体" w:cs="Times New Roman"/>
          <w:sz w:val="28"/>
          <w:szCs w:val="22"/>
          <w:lang w:val="en-US" w:eastAsia="zh-CN"/>
        </w:rPr>
        <w:t>1-1</w:t>
      </w:r>
      <w:r>
        <w:rPr>
          <w:rFonts w:hint="eastAsia" w:ascii="黑体" w:hAnsi="黑体" w:eastAsia="黑体" w:cs="Times New Roman"/>
          <w:sz w:val="28"/>
          <w:szCs w:val="22"/>
        </w:rPr>
        <w:t xml:space="preserve"> 20</w:t>
      </w:r>
      <w:r>
        <w:rPr>
          <w:rFonts w:hint="eastAsia" w:ascii="黑体" w:hAnsi="黑体" w:eastAsia="黑体" w:cs="Times New Roman"/>
          <w:sz w:val="28"/>
          <w:szCs w:val="22"/>
          <w:lang w:val="en-US" w:eastAsia="zh-CN"/>
        </w:rPr>
        <w:t>20</w:t>
      </w:r>
      <w:r>
        <w:rPr>
          <w:rFonts w:hint="eastAsia" w:ascii="黑体" w:hAnsi="黑体" w:eastAsia="黑体" w:cs="Times New Roman"/>
          <w:sz w:val="28"/>
          <w:szCs w:val="22"/>
        </w:rPr>
        <w:t>年度</w:t>
      </w:r>
      <w:r>
        <w:rPr>
          <w:rFonts w:hint="eastAsia" w:ascii="黑体" w:hAnsi="黑体" w:eastAsia="黑体" w:cs="Times New Roman"/>
          <w:sz w:val="28"/>
          <w:szCs w:val="22"/>
          <w:lang w:val="en-US" w:eastAsia="zh-CN"/>
        </w:rPr>
        <w:t>其他工作</w:t>
      </w:r>
      <w:r>
        <w:rPr>
          <w:rFonts w:hint="eastAsia" w:ascii="黑体" w:hAnsi="黑体" w:eastAsia="黑体" w:cs="Times New Roman"/>
          <w:sz w:val="28"/>
          <w:szCs w:val="22"/>
        </w:rPr>
        <w:t>项目资金使用情况表</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ascii="黑体" w:hAnsi="黑体" w:eastAsia="黑体"/>
          <w:sz w:val="28"/>
          <w:szCs w:val="22"/>
        </w:rPr>
      </w:pPr>
      <w:r>
        <w:rPr>
          <w:rFonts w:hint="eastAsia" w:ascii="黑体" w:hAnsi="黑体" w:eastAsia="黑体"/>
          <w:sz w:val="28"/>
          <w:szCs w:val="22"/>
        </w:rPr>
        <w:t>单位：</w:t>
      </w:r>
      <w:r>
        <w:rPr>
          <w:rFonts w:hint="eastAsia" w:ascii="黑体" w:hAnsi="黑体" w:eastAsia="黑体"/>
          <w:sz w:val="28"/>
          <w:szCs w:val="22"/>
          <w:lang w:val="en-US" w:eastAsia="zh-CN"/>
        </w:rPr>
        <w:t>万</w:t>
      </w:r>
      <w:r>
        <w:rPr>
          <w:rFonts w:hint="eastAsia" w:ascii="黑体" w:hAnsi="黑体" w:eastAsia="黑体"/>
          <w:sz w:val="28"/>
          <w:szCs w:val="22"/>
        </w:rPr>
        <w:t>元</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5"/>
        <w:gridCol w:w="1933"/>
        <w:gridCol w:w="1619"/>
        <w:gridCol w:w="1595"/>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single"/>
              </w:rPr>
            </w:pPr>
            <w:r>
              <w:rPr>
                <w:rFonts w:hint="eastAsia" w:ascii="仿宋_GB2312" w:hAnsi="仿宋_GB2312" w:eastAsia="仿宋_GB2312" w:cs="仿宋_GB2312"/>
                <w:b/>
                <w:bCs/>
                <w:i w:val="0"/>
                <w:iCs w:val="0"/>
                <w:color w:val="000000"/>
                <w:kern w:val="0"/>
                <w:sz w:val="24"/>
                <w:szCs w:val="24"/>
                <w:u w:val="none"/>
                <w:lang w:val="en-US" w:eastAsia="zh-CN" w:bidi="ar"/>
              </w:rPr>
              <w:t>项目资金</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年初预算数</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全年预算数</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全年执行数</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年度资金总额</w:t>
            </w:r>
          </w:p>
        </w:tc>
        <w:tc>
          <w:tcPr>
            <w:tcW w:w="1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162</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153.5</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其中：当年财政拨款</w:t>
            </w:r>
          </w:p>
        </w:tc>
        <w:tc>
          <w:tcPr>
            <w:tcW w:w="11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162</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153.5</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99.96%</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（三）项目绩效目标及实现情况</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3"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1.项目中期目标：</w:t>
      </w:r>
      <w:r>
        <w:rPr>
          <w:rFonts w:hint="eastAsia" w:ascii="仿宋_GB2312" w:eastAsia="仿宋_GB2312"/>
          <w:color w:val="auto"/>
          <w:sz w:val="32"/>
          <w:szCs w:val="32"/>
          <w:lang w:val="en-US" w:eastAsia="zh-CN"/>
        </w:rPr>
        <w:t>通过项目实施，完成区总商会成立专委会工作经费，调研经费，宣报道经费，建立企业信息大数据库，开办福田商协院，《福田工商联》杂志编辑费，刊物稿费，网站网络维护费，聘请法律顾问，楼宇统战工作经费等工作任务。</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3"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2.项目总目标：</w:t>
      </w:r>
      <w:r>
        <w:rPr>
          <w:rFonts w:hint="eastAsia" w:ascii="仿宋_GB2312" w:eastAsia="仿宋_GB2312"/>
          <w:color w:val="auto"/>
          <w:sz w:val="32"/>
          <w:szCs w:val="32"/>
          <w:lang w:val="en-US" w:eastAsia="zh-CN"/>
        </w:rPr>
        <w:t>通过项目实施，主动、充分发挥政府与企业之间的纽带作用，当好辖区非公企业的“娘家人”，促进非公经济“两个健康”。</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3" w:firstLineChars="20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3.项目绩效目标</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福田区工商联2020年其他工作项目绩效目标表整体符合要求，设置了投入、产出和效益绩效目标，并根据实际工作需求对指标进行量化。</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黑体" w:hAnsi="黑体" w:eastAsia="黑体"/>
          <w:sz w:val="28"/>
          <w:szCs w:val="22"/>
        </w:rPr>
      </w:pPr>
      <w:r>
        <w:rPr>
          <w:rFonts w:hint="eastAsia" w:ascii="黑体" w:hAnsi="黑体" w:eastAsia="黑体"/>
          <w:sz w:val="28"/>
          <w:szCs w:val="22"/>
        </w:rPr>
        <w:t>表</w:t>
      </w:r>
      <w:r>
        <w:rPr>
          <w:rFonts w:hint="eastAsia" w:ascii="黑体" w:hAnsi="黑体" w:eastAsia="黑体"/>
          <w:sz w:val="28"/>
          <w:szCs w:val="22"/>
          <w:lang w:val="en-US" w:eastAsia="zh-CN"/>
        </w:rPr>
        <w:t>1-2</w:t>
      </w:r>
      <w:r>
        <w:rPr>
          <w:rFonts w:ascii="黑体" w:hAnsi="黑体" w:eastAsia="黑体"/>
          <w:sz w:val="28"/>
          <w:szCs w:val="22"/>
        </w:rPr>
        <w:t xml:space="preserve"> </w:t>
      </w:r>
      <w:r>
        <w:rPr>
          <w:rFonts w:hint="eastAsia" w:ascii="黑体" w:hAnsi="黑体" w:eastAsia="黑体"/>
          <w:sz w:val="28"/>
          <w:szCs w:val="22"/>
        </w:rPr>
        <w:t>2</w:t>
      </w:r>
      <w:r>
        <w:rPr>
          <w:rFonts w:ascii="黑体" w:hAnsi="黑体" w:eastAsia="黑体"/>
          <w:sz w:val="28"/>
          <w:szCs w:val="22"/>
        </w:rPr>
        <w:t>0</w:t>
      </w:r>
      <w:r>
        <w:rPr>
          <w:rFonts w:hint="eastAsia" w:ascii="黑体" w:hAnsi="黑体" w:eastAsia="黑体"/>
          <w:sz w:val="28"/>
          <w:szCs w:val="22"/>
          <w:lang w:val="en-US" w:eastAsia="zh-CN"/>
        </w:rPr>
        <w:t>20</w:t>
      </w:r>
      <w:r>
        <w:rPr>
          <w:rFonts w:hint="eastAsia" w:ascii="黑体" w:hAnsi="黑体" w:eastAsia="黑体"/>
          <w:sz w:val="28"/>
          <w:szCs w:val="22"/>
        </w:rPr>
        <w:t>年其他工作项目绩效指标评分表</w:t>
      </w:r>
    </w:p>
    <w:tbl>
      <w:tblPr>
        <w:tblStyle w:val="9"/>
        <w:tblW w:w="57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847"/>
        <w:gridCol w:w="3104"/>
        <w:gridCol w:w="2649"/>
        <w:gridCol w:w="1677"/>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blHeader/>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一级指标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二级指标</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指标内容</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指标值</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实际完成值</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数量</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企业家理想信念教育培训、春 茗会、工商联界别座谈会、调研；主题峰会、港澳青年交流同心互动讲坛、致敬经典活动政策宣讲会；建立企业信息大数据；《福田工商联》杂志编辑 楼宇统战工作；对口扶贫工作</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一年举办活动不少于8次，《福田工商联》杂志出版不少于6期</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开展活动10次，出版杂志6期</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质量</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充分发挥党委和政府桥梁纽带作用，帮助企业解忧纾困，助力企业发展壮</w:t>
            </w:r>
            <w:bookmarkStart w:id="1" w:name="_GoBack"/>
            <w:bookmarkEnd w:id="1"/>
            <w:r>
              <w:rPr>
                <w:rFonts w:hint="eastAsia" w:ascii="仿宋_GB2312" w:hAnsi="仿宋_GB2312" w:eastAsia="仿宋_GB2312" w:cs="仿宋_GB2312"/>
                <w:b w:val="0"/>
                <w:bCs w:val="0"/>
                <w:i w:val="0"/>
                <w:iCs w:val="0"/>
                <w:color w:val="000000"/>
                <w:kern w:val="0"/>
                <w:sz w:val="24"/>
                <w:szCs w:val="24"/>
                <w:u w:val="none"/>
                <w:lang w:val="en-US" w:eastAsia="zh-CN" w:bidi="ar"/>
              </w:rPr>
              <w:t>大。</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通过组织各种活动，加强企业交流合作，助力优化营商环境，促进非公经济两个健康发展</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开展活动加强企业交流合作，助力优化营商环境，促进非公经济健康发展</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工作</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12月底前完成各项工作</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2020年12月31日</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2020年12月31前已完成</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经济效益</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全力助力民营企业融入深圳建设先行示范区和 深港科技创新合作区建设，为福田打造“四大中心”，建设高质量发展典范城区发挥更大作用。</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引导辖区民营企业家融入“一轴两翼五廊”发展格局，助力打造“四大中心”，优化服务非公经济“两个健康”。</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助力民营企业经济发展</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社会效益</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充分发挥党委和政府桥梁纽带作用，助力优化营商环境，促进非公经济两健康发展。</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聚焦粤港澳大湾区，开展“八大行动”，引导民营企业融入福田“一轴两翼五廊”、积极推动“四大中心”发展战略，加快建设高质量发展的社会主义现代化典范城区，助力民营企业高质量发展。</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为民营企业高质量营造优良营商环境</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生态效益</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不适用</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不适用</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不适用</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可持续影响</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充分发挥党委和政府桥梁纽带作用，助力优化营商环境，促进非公经济两健康发展。</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引导非公经济企业积极参与粤港澳大湾区建设，推动我区加快建设高质量发展社会主义现代化典范城区作出贡献</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推动建设高质量发展社会主义现代化典范城区</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满意度指标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服务对象满意度</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不低于85%</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服务对象满意度指标不低于85%</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outlineLvl w:val="0"/>
        <w:rPr>
          <w:rFonts w:ascii="黑体" w:eastAsia="黑体"/>
          <w:sz w:val="32"/>
          <w:szCs w:val="32"/>
        </w:rPr>
      </w:pPr>
      <w:r>
        <w:rPr>
          <w:rFonts w:hint="eastAsia" w:ascii="黑体" w:eastAsia="黑体" w:cs="黑体"/>
          <w:sz w:val="32"/>
          <w:szCs w:val="32"/>
        </w:rPr>
        <w:t>二、项目绩效评价结论和分析</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（一）绩效自评开展及结果</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2020年福田区工商联开展了其他工作项目自评工作，并填报了《2020年项目支出绩效自评表》。自评表显示所有产出指标和效益指标自评结果均为达成绩效设定目标。</w:t>
      </w:r>
      <w:r>
        <w:rPr>
          <w:rFonts w:hint="eastAsia" w:ascii="仿宋_GB2312" w:eastAsia="仿宋_GB2312" w:cs="仿宋_GB2312"/>
          <w:sz w:val="32"/>
          <w:szCs w:val="32"/>
          <w:lang w:eastAsia="zh-CN"/>
        </w:rPr>
        <w:t>总体自评得分为</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lang w:eastAsia="zh-CN"/>
        </w:rPr>
        <w:t>分，</w:t>
      </w:r>
      <w:r>
        <w:rPr>
          <w:rFonts w:hint="eastAsia" w:ascii="仿宋_GB2312" w:hAnsi="Times New Roman" w:eastAsia="仿宋_GB2312" w:cs="Times New Roman"/>
          <w:color w:val="auto"/>
          <w:sz w:val="32"/>
          <w:szCs w:val="32"/>
          <w:lang w:val="en-US" w:eastAsia="zh-CN"/>
        </w:rPr>
        <w:t>投入、产出和效益</w:t>
      </w:r>
      <w:r>
        <w:rPr>
          <w:rFonts w:hint="eastAsia" w:ascii="仿宋_GB2312" w:eastAsia="仿宋_GB2312" w:cs="仿宋_GB2312"/>
          <w:sz w:val="32"/>
          <w:szCs w:val="32"/>
          <w:lang w:eastAsia="zh-CN"/>
        </w:rPr>
        <w:t>指标自评均为满分，未反映项目实施过程中存在的问题。</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项目绩效评价结论</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本次绩效评价从决策、过程、产出和效益四个方面展开详细的论证评价</w:t>
      </w:r>
      <w:r>
        <w:rPr>
          <w:rFonts w:hint="eastAsia" w:ascii="仿宋_GB2312" w:eastAsia="仿宋_GB2312" w:cs="仿宋_GB2312"/>
          <w:sz w:val="32"/>
          <w:szCs w:val="32"/>
        </w:rPr>
        <w:t>。总体来看，项目实施进度正常，财政资金及时足额到位，项目目标任务按时按质完成，项目在资金管理、实施过程方面均取得了良好的成绩。从评价情况来看，项目支出绩效情况较为理想，达到了项目申请时设定的绩效目标</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3" w:firstLineChars="200"/>
        <w:jc w:val="both"/>
        <w:textAlignment w:val="auto"/>
        <w:outlineLvl w:val="1"/>
        <w:rPr>
          <w:rFonts w:hint="eastAsia" w:asci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项目绩效分析</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hAnsi="Times New Roman" w:eastAsia="仿宋_GB2312" w:cs="仿宋_GB2312"/>
          <w:sz w:val="32"/>
          <w:szCs w:val="32"/>
        </w:rPr>
      </w:pPr>
      <w:r>
        <w:rPr>
          <w:rFonts w:hint="eastAsia" w:ascii="仿宋_GB2312" w:eastAsia="仿宋_GB2312" w:cs="仿宋_GB2312"/>
          <w:sz w:val="32"/>
          <w:szCs w:val="32"/>
        </w:rPr>
        <w:t>以项目资金分配、管理和使用的绩效情况为核心，以全过程预算绩效管理的理念和思路，按照“项目决策</w:t>
      </w:r>
      <w:r>
        <w:rPr>
          <w:rFonts w:ascii="仿宋_GB2312" w:eastAsia="仿宋_GB2312" w:cs="仿宋_GB2312"/>
          <w:sz w:val="32"/>
          <w:szCs w:val="32"/>
        </w:rPr>
        <w:t>-</w:t>
      </w:r>
      <w:r>
        <w:rPr>
          <w:rFonts w:hint="eastAsia" w:ascii="仿宋_GB2312" w:eastAsia="仿宋_GB2312" w:cs="仿宋_GB2312"/>
          <w:sz w:val="32"/>
          <w:szCs w:val="32"/>
        </w:rPr>
        <w:t>项目过程-项目产出</w:t>
      </w:r>
      <w:r>
        <w:rPr>
          <w:rFonts w:ascii="仿宋_GB2312" w:eastAsia="仿宋_GB2312" w:cs="仿宋_GB2312"/>
          <w:sz w:val="32"/>
          <w:szCs w:val="32"/>
        </w:rPr>
        <w:t>-</w:t>
      </w:r>
      <w:r>
        <w:rPr>
          <w:rFonts w:hint="eastAsia" w:ascii="仿宋_GB2312" w:eastAsia="仿宋_GB2312" w:cs="仿宋_GB2312"/>
          <w:sz w:val="32"/>
          <w:szCs w:val="32"/>
        </w:rPr>
        <w:t>项目效益”设计评价指标体系，对项目支出进行绩效分析。</w:t>
      </w:r>
      <w:r>
        <w:rPr>
          <w:rFonts w:hint="eastAsia" w:ascii="仿宋_GB2312" w:hAnsi="Times New Roman" w:eastAsia="仿宋_GB2312" w:cs="仿宋_GB2312"/>
          <w:sz w:val="32"/>
          <w:szCs w:val="32"/>
          <w:lang w:val="zh-CN"/>
        </w:rPr>
        <w:t>综合评定项目得分为</w:t>
      </w:r>
      <w:r>
        <w:rPr>
          <w:rFonts w:hint="eastAsia" w:ascii="仿宋_GB2312" w:hAnsi="Times New Roman" w:eastAsia="仿宋_GB2312" w:cs="仿宋_GB2312"/>
          <w:sz w:val="32"/>
          <w:szCs w:val="32"/>
          <w:lang w:val="en-US" w:eastAsia="zh-CN"/>
        </w:rPr>
        <w:t>94.99</w:t>
      </w:r>
      <w:r>
        <w:rPr>
          <w:rFonts w:hint="eastAsia" w:ascii="仿宋_GB2312" w:hAnsi="Times New Roman" w:eastAsia="仿宋_GB2312" w:cs="仿宋_GB2312"/>
          <w:sz w:val="32"/>
          <w:szCs w:val="32"/>
          <w:lang w:val="zh-CN"/>
        </w:rPr>
        <w:t>分，绩效等级为“优”，详见下表。（90分及以上为优，80-89分为良，70-79分为中，70分以下为低）具体评分情况详见表2-1。</w:t>
      </w:r>
    </w:p>
    <w:p>
      <w:pPr>
        <w:keepNext w:val="0"/>
        <w:keepLines w:val="0"/>
        <w:pageBreakBefore w:val="0"/>
        <w:widowControl/>
        <w:kinsoku/>
        <w:wordWrap/>
        <w:overflowPunct/>
        <w:topLinePunct w:val="0"/>
        <w:autoSpaceDE/>
        <w:autoSpaceDN/>
        <w:bidi w:val="0"/>
        <w:adjustRightInd/>
        <w:snapToGrid/>
        <w:spacing w:line="580" w:lineRule="exact"/>
        <w:ind w:firstLine="0"/>
        <w:jc w:val="center"/>
        <w:textAlignment w:val="auto"/>
        <w:rPr>
          <w:rFonts w:ascii="黑体" w:hAnsi="黑体" w:eastAsia="黑体" w:cs="黑体"/>
          <w:kern w:val="0"/>
          <w:sz w:val="28"/>
          <w:szCs w:val="28"/>
          <w:lang w:eastAsia="zh-Hans"/>
        </w:rPr>
      </w:pPr>
      <w:r>
        <w:rPr>
          <w:rFonts w:hint="eastAsia" w:ascii="黑体" w:hAnsi="黑体" w:eastAsia="黑体" w:cs="黑体"/>
          <w:kern w:val="0"/>
          <w:sz w:val="28"/>
          <w:szCs w:val="28"/>
          <w:lang w:eastAsia="zh-Hans"/>
        </w:rPr>
        <w:t>表</w:t>
      </w:r>
      <w:r>
        <w:rPr>
          <w:rFonts w:hint="eastAsia" w:ascii="黑体" w:hAnsi="黑体" w:eastAsia="黑体" w:cs="黑体"/>
          <w:kern w:val="0"/>
          <w:sz w:val="28"/>
          <w:szCs w:val="28"/>
        </w:rPr>
        <w:t>2-1</w:t>
      </w:r>
      <w:r>
        <w:rPr>
          <w:rFonts w:hint="eastAsia" w:ascii="黑体" w:hAnsi="黑体" w:eastAsia="黑体" w:cs="黑体"/>
          <w:kern w:val="0"/>
          <w:sz w:val="28"/>
          <w:szCs w:val="28"/>
          <w:lang w:eastAsia="zh-Hans"/>
        </w:rPr>
        <w:t xml:space="preserve"> 绩效评价指标体系得分表</w:t>
      </w:r>
    </w:p>
    <w:tbl>
      <w:tblPr>
        <w:tblStyle w:val="9"/>
        <w:tblW w:w="54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99"/>
        <w:gridCol w:w="1607"/>
        <w:gridCol w:w="3482"/>
        <w:gridCol w:w="1022"/>
        <w:gridCol w:w="87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2" w:type="pct"/>
            <w:shd w:val="clear" w:color="auto" w:fill="D7D7D7" w:themeFill="background1" w:themeFillShade="D8"/>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一级指标</w:t>
            </w:r>
          </w:p>
        </w:tc>
        <w:tc>
          <w:tcPr>
            <w:tcW w:w="893" w:type="pct"/>
            <w:shd w:val="clear" w:color="auto" w:fill="D7D7D7" w:themeFill="background1" w:themeFillShade="D8"/>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二级指标</w:t>
            </w:r>
          </w:p>
        </w:tc>
        <w:tc>
          <w:tcPr>
            <w:tcW w:w="1935" w:type="pct"/>
            <w:shd w:val="clear" w:color="auto" w:fill="D7D7D7" w:themeFill="background1" w:themeFillShade="D8"/>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三级指标</w:t>
            </w:r>
          </w:p>
        </w:tc>
        <w:tc>
          <w:tcPr>
            <w:tcW w:w="567" w:type="pct"/>
            <w:shd w:val="clear" w:color="auto" w:fill="D7D7D7" w:themeFill="background1" w:themeFillShade="D8"/>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标杆值</w:t>
            </w:r>
          </w:p>
        </w:tc>
        <w:tc>
          <w:tcPr>
            <w:tcW w:w="486" w:type="pct"/>
            <w:shd w:val="clear" w:color="auto" w:fill="D7D7D7" w:themeFill="background1" w:themeFillShade="D8"/>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权重</w:t>
            </w:r>
          </w:p>
        </w:tc>
        <w:tc>
          <w:tcPr>
            <w:tcW w:w="394" w:type="pct"/>
            <w:shd w:val="clear" w:color="auto" w:fill="D7D7D7" w:themeFill="background1" w:themeFillShade="D8"/>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restar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项目决策</w:t>
            </w:r>
          </w:p>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（15分）</w:t>
            </w:r>
          </w:p>
        </w:tc>
        <w:tc>
          <w:tcPr>
            <w:tcW w:w="893" w:type="pct"/>
            <w:vMerge w:val="restar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项目立项</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立项依据充分性</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充分</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continue"/>
            <w:shd w:val="clear" w:color="auto" w:fill="auto"/>
            <w:tcMar>
              <w:top w:w="10" w:type="dxa"/>
              <w:left w:w="10" w:type="dxa"/>
              <w:right w:w="10" w:type="dxa"/>
            </w:tcMar>
            <w:vAlign w:val="center"/>
          </w:tcPr>
          <w:p>
            <w:pPr>
              <w:ind w:firstLine="0" w:firstLineChars="0"/>
              <w:jc w:val="left"/>
              <w:rPr>
                <w:rFonts w:hint="eastAsia" w:ascii="仿宋_GB2312" w:hAnsi="仿宋_GB2312" w:eastAsia="仿宋_GB2312" w:cs="仿宋_GB2312"/>
                <w:color w:val="000000"/>
                <w:sz w:val="24"/>
                <w:szCs w:val="24"/>
              </w:rPr>
            </w:pP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立项程序规范性</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规范</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restar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绩效目标</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绩效目标合理性</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合理</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continue"/>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kern w:val="0"/>
                <w:sz w:val="24"/>
                <w:szCs w:val="24"/>
                <w:lang w:bidi="ar"/>
              </w:rPr>
            </w:pP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绩效目标明确性</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明确</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restar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资金投入</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预算编制科学性</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合理</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continue"/>
            <w:shd w:val="clear" w:color="auto" w:fill="auto"/>
            <w:tcMar>
              <w:top w:w="10" w:type="dxa"/>
              <w:left w:w="10" w:type="dxa"/>
              <w:right w:w="10" w:type="dxa"/>
            </w:tcMar>
            <w:vAlign w:val="center"/>
          </w:tcPr>
          <w:p>
            <w:pPr>
              <w:ind w:firstLine="0" w:firstLineChars="0"/>
              <w:jc w:val="left"/>
              <w:rPr>
                <w:rFonts w:hint="eastAsia" w:ascii="仿宋_GB2312" w:hAnsi="仿宋_GB2312" w:eastAsia="仿宋_GB2312" w:cs="仿宋_GB2312"/>
                <w:color w:val="000000"/>
                <w:sz w:val="24"/>
                <w:szCs w:val="24"/>
              </w:rPr>
            </w:pP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资金分配合理性</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合理</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restar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项目管理</w:t>
            </w:r>
          </w:p>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（25分）</w:t>
            </w:r>
          </w:p>
        </w:tc>
        <w:tc>
          <w:tcPr>
            <w:tcW w:w="893" w:type="pct"/>
            <w:vMerge w:val="restar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资金管理</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预算执行率</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100%</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continue"/>
            <w:shd w:val="clear" w:color="auto" w:fill="auto"/>
            <w:tcMar>
              <w:top w:w="10" w:type="dxa"/>
              <w:left w:w="10" w:type="dxa"/>
              <w:right w:w="10" w:type="dxa"/>
            </w:tcMar>
            <w:vAlign w:val="center"/>
          </w:tcPr>
          <w:p>
            <w:pPr>
              <w:ind w:firstLine="0" w:firstLineChars="0"/>
              <w:jc w:val="left"/>
              <w:rPr>
                <w:rFonts w:hint="eastAsia" w:ascii="仿宋_GB2312" w:hAnsi="仿宋_GB2312" w:eastAsia="仿宋_GB2312" w:cs="仿宋_GB2312"/>
                <w:color w:val="000000"/>
                <w:sz w:val="24"/>
                <w:szCs w:val="24"/>
              </w:rPr>
            </w:pP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财务管理制度健全性</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健全</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continue"/>
            <w:shd w:val="clear" w:color="auto" w:fill="auto"/>
            <w:tcMar>
              <w:top w:w="10" w:type="dxa"/>
              <w:left w:w="10" w:type="dxa"/>
              <w:right w:w="10" w:type="dxa"/>
            </w:tcMar>
            <w:vAlign w:val="center"/>
          </w:tcPr>
          <w:p>
            <w:pPr>
              <w:ind w:firstLine="0" w:firstLineChars="0"/>
              <w:jc w:val="left"/>
              <w:rPr>
                <w:rFonts w:hint="eastAsia" w:ascii="仿宋_GB2312" w:hAnsi="仿宋_GB2312" w:eastAsia="仿宋_GB2312" w:cs="仿宋_GB2312"/>
                <w:color w:val="000000"/>
                <w:sz w:val="24"/>
                <w:szCs w:val="24"/>
              </w:rPr>
            </w:pP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资金使用合规性</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合规</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restar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组织实施</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管理制度健全性</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健全</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continue"/>
            <w:shd w:val="clear" w:color="auto" w:fill="auto"/>
            <w:tcMar>
              <w:top w:w="10" w:type="dxa"/>
              <w:left w:w="10" w:type="dxa"/>
              <w:right w:w="10" w:type="dxa"/>
            </w:tcMar>
            <w:vAlign w:val="center"/>
          </w:tcPr>
          <w:p>
            <w:pPr>
              <w:ind w:firstLine="0" w:firstLineChars="0"/>
              <w:jc w:val="left"/>
              <w:rPr>
                <w:rFonts w:hint="eastAsia" w:ascii="仿宋_GB2312" w:hAnsi="仿宋_GB2312" w:eastAsia="仿宋_GB2312" w:cs="仿宋_GB2312"/>
                <w:color w:val="000000"/>
                <w:sz w:val="24"/>
                <w:szCs w:val="24"/>
              </w:rPr>
            </w:pP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管理制度执行有效性</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有效</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restar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产出</w:t>
            </w:r>
          </w:p>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（30分）</w:t>
            </w:r>
          </w:p>
        </w:tc>
        <w:tc>
          <w:tcPr>
            <w:tcW w:w="893" w:type="pct"/>
            <w:vMerge w:val="restar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数量指标</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活动开展次数</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≥8次</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continue"/>
            <w:shd w:val="clear" w:color="auto" w:fill="auto"/>
            <w:tcMar>
              <w:top w:w="10" w:type="dxa"/>
              <w:left w:w="10" w:type="dxa"/>
              <w:right w:w="10" w:type="dxa"/>
            </w:tcMar>
            <w:vAlign w:val="center"/>
          </w:tcPr>
          <w:p>
            <w:pPr>
              <w:ind w:firstLine="0" w:firstLineChars="0"/>
              <w:jc w:val="left"/>
              <w:rPr>
                <w:rFonts w:hint="eastAsia" w:ascii="仿宋_GB2312" w:hAnsi="仿宋_GB2312" w:eastAsia="仿宋_GB2312" w:cs="仿宋_GB2312"/>
                <w:color w:val="000000"/>
                <w:sz w:val="24"/>
                <w:szCs w:val="24"/>
              </w:rPr>
            </w:pP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bidi="ar"/>
              </w:rPr>
              <w:t>《福田工商联》杂志出版</w:t>
            </w:r>
            <w:r>
              <w:rPr>
                <w:rFonts w:hint="eastAsia" w:ascii="仿宋_GB2312" w:hAnsi="仿宋_GB2312" w:eastAsia="仿宋_GB2312" w:cs="仿宋_GB2312"/>
                <w:color w:val="000000"/>
                <w:kern w:val="0"/>
                <w:sz w:val="24"/>
                <w:szCs w:val="24"/>
                <w:lang w:val="en-US" w:eastAsia="zh-CN" w:bidi="ar"/>
              </w:rPr>
              <w:t>期数</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≥6期</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restart"/>
            <w:shd w:val="clear" w:color="auto" w:fill="auto"/>
            <w:noWrap/>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质量指标</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活动开展人员参与率</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≥9</w:t>
            </w:r>
            <w:r>
              <w:rPr>
                <w:rFonts w:hint="eastAsia" w:ascii="仿宋_GB2312" w:hAnsi="仿宋_GB2312" w:eastAsia="仿宋_GB2312" w:cs="仿宋_GB2312"/>
                <w:color w:val="000000"/>
                <w:kern w:val="0"/>
                <w:sz w:val="24"/>
                <w:szCs w:val="24"/>
                <w:lang w:bidi="ar"/>
              </w:rPr>
              <w:t>0%</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continue"/>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kern w:val="0"/>
                <w:sz w:val="24"/>
                <w:szCs w:val="24"/>
                <w:lang w:val="en-US" w:eastAsia="zh-CN" w:bidi="ar"/>
              </w:rPr>
            </w:pP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杂志出版合格率</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≥9</w:t>
            </w:r>
            <w:r>
              <w:rPr>
                <w:rFonts w:hint="eastAsia" w:ascii="仿宋_GB2312" w:hAnsi="仿宋_GB2312" w:eastAsia="仿宋_GB2312" w:cs="仿宋_GB2312"/>
                <w:color w:val="000000"/>
                <w:kern w:val="0"/>
                <w:sz w:val="24"/>
                <w:szCs w:val="24"/>
                <w:lang w:bidi="ar"/>
              </w:rPr>
              <w:t>0%</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restar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时效指标</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活动开展</w:t>
            </w:r>
            <w:r>
              <w:rPr>
                <w:rFonts w:hint="eastAsia" w:ascii="仿宋_GB2312" w:hAnsi="仿宋_GB2312" w:eastAsia="仿宋_GB2312" w:cs="仿宋_GB2312"/>
                <w:color w:val="000000"/>
                <w:kern w:val="0"/>
                <w:sz w:val="24"/>
                <w:szCs w:val="24"/>
                <w:lang w:bidi="ar"/>
              </w:rPr>
              <w:t>及时性</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及时</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vMerge w:val="continue"/>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kern w:val="0"/>
                <w:sz w:val="24"/>
                <w:szCs w:val="24"/>
                <w:lang w:bidi="ar"/>
              </w:rPr>
            </w:pP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default" w:ascii="仿宋_GB2312" w:hAnsi="仿宋_GB2312" w:eastAsia="仿宋_GB2312" w:cs="仿宋_GB2312"/>
                <w:color w:val="000000"/>
                <w:kern w:val="0"/>
                <w:sz w:val="24"/>
                <w:szCs w:val="24"/>
                <w:lang w:val="en-US" w:bidi="ar"/>
              </w:rPr>
            </w:pPr>
            <w:r>
              <w:rPr>
                <w:rFonts w:hint="eastAsia" w:ascii="仿宋_GB2312" w:hAnsi="仿宋_GB2312" w:eastAsia="仿宋_GB2312" w:cs="仿宋_GB2312"/>
                <w:color w:val="000000"/>
                <w:kern w:val="0"/>
                <w:sz w:val="24"/>
                <w:szCs w:val="24"/>
                <w:lang w:val="en-US" w:eastAsia="zh-CN" w:bidi="ar"/>
              </w:rPr>
              <w:t>杂志出版及时率</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≥9</w:t>
            </w:r>
            <w:r>
              <w:rPr>
                <w:rFonts w:hint="eastAsia" w:ascii="仿宋_GB2312" w:hAnsi="仿宋_GB2312" w:eastAsia="仿宋_GB2312" w:cs="仿宋_GB2312"/>
                <w:color w:val="000000"/>
                <w:kern w:val="0"/>
                <w:sz w:val="24"/>
                <w:szCs w:val="24"/>
                <w:lang w:bidi="ar"/>
              </w:rPr>
              <w:t>0%</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成本指标</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成本控制率</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≤100%</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restar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效益</w:t>
            </w:r>
          </w:p>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（30分）</w:t>
            </w:r>
          </w:p>
        </w:tc>
        <w:tc>
          <w:tcPr>
            <w:tcW w:w="893"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经济效益</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助力民营企业经济发展</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有效</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社会效益</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为民营企业高质量营造优良营商环境</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有效</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可持续影响</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引导非公经济企业积极参与粤港澳大湾区建设</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有效</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满意度指标</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辖区群众满意度</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≥90%</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2" w:type="pct"/>
            <w:vMerge w:val="continue"/>
            <w:shd w:val="clear" w:color="auto" w:fill="auto"/>
            <w:tcMar>
              <w:top w:w="10" w:type="dxa"/>
              <w:left w:w="10" w:type="dxa"/>
              <w:right w:w="10" w:type="dxa"/>
            </w:tcMar>
            <w:vAlign w:val="center"/>
          </w:tcPr>
          <w:p>
            <w:pPr>
              <w:ind w:firstLine="0" w:firstLineChars="0"/>
              <w:jc w:val="center"/>
              <w:rPr>
                <w:rFonts w:hint="eastAsia" w:ascii="仿宋_GB2312" w:hAnsi="仿宋_GB2312" w:eastAsia="仿宋_GB2312" w:cs="仿宋_GB2312"/>
                <w:color w:val="000000"/>
                <w:sz w:val="24"/>
                <w:szCs w:val="24"/>
              </w:rPr>
            </w:pPr>
          </w:p>
        </w:tc>
        <w:tc>
          <w:tcPr>
            <w:tcW w:w="893"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长效管理机制</w:t>
            </w:r>
          </w:p>
        </w:tc>
        <w:tc>
          <w:tcPr>
            <w:tcW w:w="1935" w:type="pct"/>
            <w:shd w:val="clear" w:color="auto" w:fill="auto"/>
            <w:tcMar>
              <w:top w:w="10" w:type="dxa"/>
              <w:left w:w="10" w:type="dxa"/>
              <w:right w:w="10" w:type="dxa"/>
            </w:tcMar>
            <w:vAlign w:val="center"/>
          </w:tcPr>
          <w:p>
            <w:pPr>
              <w:widowControl/>
              <w:ind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绩效跟踪评价</w:t>
            </w:r>
          </w:p>
        </w:tc>
        <w:tc>
          <w:tcPr>
            <w:tcW w:w="567"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开展</w:t>
            </w:r>
          </w:p>
        </w:tc>
        <w:tc>
          <w:tcPr>
            <w:tcW w:w="486"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6分</w:t>
            </w:r>
          </w:p>
        </w:tc>
        <w:tc>
          <w:tcPr>
            <w:tcW w:w="394" w:type="pct"/>
            <w:shd w:val="clear" w:color="auto" w:fill="auto"/>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8" w:type="pct"/>
            <w:gridSpan w:val="4"/>
            <w:shd w:val="clear" w:color="auto" w:fill="auto"/>
            <w:noWrap/>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合计</w:t>
            </w:r>
          </w:p>
        </w:tc>
        <w:tc>
          <w:tcPr>
            <w:tcW w:w="486" w:type="pct"/>
            <w:shd w:val="clear" w:color="auto" w:fill="auto"/>
            <w:noWrap/>
            <w:tcMar>
              <w:top w:w="10" w:type="dxa"/>
              <w:left w:w="10" w:type="dxa"/>
              <w:right w:w="10" w:type="dxa"/>
            </w:tcMar>
            <w:vAlign w:val="center"/>
          </w:tcPr>
          <w:p>
            <w:pPr>
              <w:widowControl/>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100分</w:t>
            </w:r>
          </w:p>
        </w:tc>
        <w:tc>
          <w:tcPr>
            <w:tcW w:w="394" w:type="pct"/>
            <w:shd w:val="clear" w:color="auto" w:fill="auto"/>
            <w:noWrap/>
            <w:tcMar>
              <w:top w:w="10" w:type="dxa"/>
              <w:left w:w="10" w:type="dxa"/>
              <w:right w:w="10" w:type="dxa"/>
            </w:tcMar>
            <w:vAlign w:val="center"/>
          </w:tcPr>
          <w:p>
            <w:pPr>
              <w:widowControl/>
              <w:ind w:firstLine="0" w:firstLineChars="0"/>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94.99</w:t>
            </w:r>
          </w:p>
        </w:tc>
      </w:tr>
    </w:tbl>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3" w:firstLineChars="200"/>
        <w:jc w:val="both"/>
        <w:textAlignment w:val="auto"/>
        <w:outlineLvl w:val="2"/>
        <w:rPr>
          <w:rFonts w:hint="eastAsia" w:ascii="仿宋_GB2312" w:eastAsia="仿宋_GB2312" w:cs="仿宋_GB2312"/>
          <w:b/>
          <w:bCs/>
          <w:sz w:val="32"/>
          <w:szCs w:val="32"/>
          <w:lang w:eastAsia="zh-CN"/>
        </w:rPr>
      </w:pPr>
      <w:r>
        <w:rPr>
          <w:rFonts w:ascii="仿宋_GB2312" w:eastAsia="仿宋_GB2312" w:cs="仿宋_GB2312"/>
          <w:b/>
          <w:bCs/>
          <w:sz w:val="32"/>
          <w:szCs w:val="32"/>
        </w:rPr>
        <w:t>1.</w:t>
      </w:r>
      <w:r>
        <w:rPr>
          <w:rFonts w:hint="eastAsia" w:ascii="仿宋_GB2312" w:eastAsia="仿宋_GB2312" w:cs="仿宋_GB2312"/>
          <w:b/>
          <w:bCs/>
          <w:sz w:val="32"/>
          <w:szCs w:val="32"/>
        </w:rPr>
        <w:t>从项目决策角度分析</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该指标从项目立项、绩效目标、资金投入三个方面对项目决策情况进行评价，共涉及6个三级指标。满分15分，评价得分13分，得分率86.67%，总体表现为“良”。具体评分情况如下：</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s="仿宋_GB2312"/>
          <w:sz w:val="32"/>
          <w:szCs w:val="32"/>
          <w:lang w:val="en-US" w:eastAsia="zh-CN"/>
        </w:rPr>
        <w:t>福田区工商联按照单位履职要求</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项目决策符合福田区工商联内部决策程序要求，按照规定的审批权限申请，并经过集体议事决策，项目审批文件、材料规范、完整。围绕资金支出目标、范围及使用等方面设置目标，但目标设置不够明确、细化和量化，绩效目标管理有待提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2"/>
        <w:rPr>
          <w:rFonts w:hint="eastAsia" w:ascii="仿宋_GB2312" w:eastAsia="仿宋_GB2312" w:cs="仿宋_GB2312"/>
          <w:b/>
          <w:bCs/>
          <w:sz w:val="32"/>
          <w:szCs w:val="32"/>
          <w:lang w:eastAsia="zh-CN"/>
        </w:rPr>
      </w:pPr>
      <w:r>
        <w:rPr>
          <w:rFonts w:hint="eastAsia" w:ascii="仿宋_GB2312" w:eastAsia="仿宋_GB2312" w:cs="仿宋_GB2312"/>
          <w:b/>
          <w:bCs/>
          <w:sz w:val="32"/>
          <w:szCs w:val="32"/>
          <w:lang w:val="en-US" w:eastAsia="zh-CN"/>
        </w:rPr>
        <w:t>2.</w:t>
      </w:r>
      <w:r>
        <w:rPr>
          <w:rFonts w:hint="eastAsia" w:ascii="仿宋_GB2312" w:eastAsia="仿宋_GB2312" w:cs="仿宋_GB2312"/>
          <w:b/>
          <w:bCs/>
          <w:sz w:val="32"/>
          <w:szCs w:val="32"/>
        </w:rPr>
        <w:t>从项目管理角度分析</w:t>
      </w:r>
    </w:p>
    <w:p>
      <w:pPr>
        <w:keepNext w:val="0"/>
        <w:keepLines w:val="0"/>
        <w:pageBreakBefore w:val="0"/>
        <w:kinsoku/>
        <w:wordWrap/>
        <w:overflowPunct/>
        <w:topLinePunct w:val="0"/>
        <w:autoSpaceDE/>
        <w:autoSpaceDN/>
        <w:bidi w:val="0"/>
        <w:spacing w:line="580" w:lineRule="exact"/>
        <w:ind w:left="0" w:right="0" w:rightChars="0" w:firstLine="640" w:firstLineChars="200"/>
        <w:jc w:val="both"/>
        <w:textAlignment w:val="auto"/>
        <w:rPr>
          <w:rFonts w:hint="eastAsia" w:ascii="仿宋_GB2312" w:hAnsi="Times New Roman" w:eastAsia="仿宋_GB2312" w:cs="仿宋_GB2312"/>
          <w:color w:val="auto"/>
          <w:sz w:val="32"/>
          <w:szCs w:val="32"/>
          <w:lang w:val="zh-CN" w:eastAsia="zh-CN"/>
        </w:rPr>
      </w:pPr>
      <w:r>
        <w:rPr>
          <w:rFonts w:hint="eastAsia" w:ascii="仿宋_GB2312" w:hAnsi="Times New Roman" w:eastAsia="仿宋_GB2312" w:cs="仿宋_GB2312"/>
          <w:color w:val="auto"/>
          <w:sz w:val="32"/>
          <w:szCs w:val="32"/>
          <w:lang w:val="zh-CN" w:eastAsia="zh-CN"/>
        </w:rPr>
        <w:t>该指标从资金管理、组织实施两个方面对项目决策情况进行评价，共涉及5个三级指标。满分25分，评价得分2</w:t>
      </w:r>
      <w:r>
        <w:rPr>
          <w:rFonts w:hint="eastAsia" w:ascii="仿宋_GB2312" w:hAnsi="Times New Roman" w:eastAsia="仿宋_GB2312" w:cs="仿宋_GB2312"/>
          <w:color w:val="auto"/>
          <w:sz w:val="32"/>
          <w:szCs w:val="32"/>
          <w:lang w:val="en-US" w:eastAsia="zh-CN"/>
        </w:rPr>
        <w:t>4</w:t>
      </w:r>
      <w:r>
        <w:rPr>
          <w:rFonts w:hint="eastAsia" w:ascii="仿宋_GB2312" w:hAnsi="Times New Roman" w:eastAsia="仿宋_GB2312" w:cs="仿宋_GB2312"/>
          <w:color w:val="auto"/>
          <w:sz w:val="32"/>
          <w:szCs w:val="32"/>
          <w:lang w:val="zh-CN" w:eastAsia="zh-CN"/>
        </w:rPr>
        <w:t>.</w:t>
      </w:r>
      <w:r>
        <w:rPr>
          <w:rFonts w:hint="eastAsia" w:ascii="仿宋_GB2312" w:hAnsi="Times New Roman" w:eastAsia="仿宋_GB2312" w:cs="仿宋_GB2312"/>
          <w:color w:val="auto"/>
          <w:sz w:val="32"/>
          <w:szCs w:val="32"/>
          <w:lang w:val="en-US" w:eastAsia="zh-CN"/>
        </w:rPr>
        <w:t>99</w:t>
      </w:r>
      <w:r>
        <w:rPr>
          <w:rFonts w:hint="eastAsia" w:ascii="仿宋_GB2312" w:hAnsi="Times New Roman" w:eastAsia="仿宋_GB2312" w:cs="仿宋_GB2312"/>
          <w:color w:val="auto"/>
          <w:sz w:val="32"/>
          <w:szCs w:val="32"/>
          <w:lang w:val="zh-CN" w:eastAsia="zh-CN"/>
        </w:rPr>
        <w:t>分，得分率9</w:t>
      </w:r>
      <w:r>
        <w:rPr>
          <w:rFonts w:hint="eastAsia" w:ascii="仿宋_GB2312" w:hAnsi="Times New Roman" w:eastAsia="仿宋_GB2312" w:cs="仿宋_GB2312"/>
          <w:color w:val="auto"/>
          <w:sz w:val="32"/>
          <w:szCs w:val="32"/>
          <w:lang w:val="en-US" w:eastAsia="zh-CN"/>
        </w:rPr>
        <w:t>9.96</w:t>
      </w:r>
      <w:r>
        <w:rPr>
          <w:rFonts w:hint="eastAsia" w:ascii="仿宋_GB2312" w:hAnsi="Times New Roman" w:eastAsia="仿宋_GB2312" w:cs="仿宋_GB2312"/>
          <w:color w:val="auto"/>
          <w:sz w:val="32"/>
          <w:szCs w:val="32"/>
          <w:lang w:val="zh-CN" w:eastAsia="zh-CN"/>
        </w:rPr>
        <w:t>%，总体表现为“优”。具体评分情况如下：</w:t>
      </w:r>
    </w:p>
    <w:p>
      <w:pPr>
        <w:keepNext w:val="0"/>
        <w:keepLines w:val="0"/>
        <w:pageBreakBefore w:val="0"/>
        <w:kinsoku/>
        <w:wordWrap/>
        <w:overflowPunct/>
        <w:topLinePunct w:val="0"/>
        <w:autoSpaceDE/>
        <w:autoSpaceDN/>
        <w:bidi w:val="0"/>
        <w:spacing w:line="580" w:lineRule="exact"/>
        <w:ind w:left="0" w:right="0" w:rightChars="0" w:firstLine="640" w:firstLineChars="200"/>
        <w:jc w:val="both"/>
        <w:textAlignment w:val="auto"/>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b w:val="0"/>
          <w:bCs w:val="0"/>
          <w:color w:val="auto"/>
          <w:sz w:val="32"/>
          <w:szCs w:val="32"/>
          <w:lang w:val="en-US" w:eastAsia="zh-CN"/>
        </w:rPr>
        <w:t>预算执行率</w:t>
      </w:r>
      <w:r>
        <w:rPr>
          <w:rFonts w:hint="eastAsia" w:ascii="仿宋_GB2312" w:eastAsia="仿宋_GB2312" w:cs="仿宋_GB2312"/>
          <w:color w:val="auto"/>
          <w:sz w:val="32"/>
          <w:szCs w:val="32"/>
          <w:lang w:val="en-US" w:eastAsia="zh-CN"/>
        </w:rPr>
        <w:t>指标用以考察项目预算资金是否按照计划执行，用以反映或考核项目预算执行情况。预算执行率=（决算资金/调整后预算资金）×100%。该指标分值为3分，评价得分为2.99分。扣分原因是全年预算数153.5万元，实际支出153.44万元，预算执行率为99.96%，扣0.01分。</w:t>
      </w:r>
    </w:p>
    <w:p>
      <w:pPr>
        <w:keepNext w:val="0"/>
        <w:keepLines w:val="0"/>
        <w:pageBreakBefore w:val="0"/>
        <w:kinsoku/>
        <w:wordWrap/>
        <w:overflowPunct/>
        <w:topLinePunct w:val="0"/>
        <w:autoSpaceDE/>
        <w:autoSpaceDN/>
        <w:bidi w:val="0"/>
        <w:spacing w:line="580" w:lineRule="exact"/>
        <w:ind w:left="0" w:right="0" w:rightChars="0" w:firstLine="640" w:firstLineChars="200"/>
        <w:jc w:val="both"/>
        <w:textAlignment w:val="auto"/>
        <w:rPr>
          <w:rFonts w:hint="eastAsia" w:ascii="仿宋_GB2312" w:hAnsi="Times New Roman"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（2</w:t>
      </w:r>
      <w:r>
        <w:rPr>
          <w:rFonts w:hint="eastAsia" w:ascii="仿宋_GB2312" w:hAnsi="Times New Roman" w:eastAsia="仿宋_GB2312" w:cs="仿宋_GB2312"/>
          <w:color w:val="auto"/>
          <w:sz w:val="32"/>
          <w:szCs w:val="32"/>
          <w:lang w:val="en-US" w:eastAsia="zh-CN"/>
        </w:rPr>
        <w:t>）依据内部控制流程，福田区工商联建立了包括《财务管理制度》、《采购管理制度》、《固定资产管理使用制度》、《预算绩效管理制度》等一系列内部控制管理制度，基本涵盖了预算管理、收支管理、政府采购管理、资产管理、重大事项集体决策等经济业务活动，部门职能履行与预算执行得以保障。</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（3）</w:t>
      </w:r>
      <w:r>
        <w:rPr>
          <w:rFonts w:hint="eastAsia" w:ascii="仿宋_GB2312" w:hAnsi="Times New Roman" w:eastAsia="仿宋_GB2312" w:cs="仿宋_GB2312"/>
          <w:color w:val="auto"/>
          <w:sz w:val="32"/>
          <w:szCs w:val="32"/>
          <w:lang w:val="en-US" w:eastAsia="zh-CN"/>
        </w:rPr>
        <w:t>20</w:t>
      </w:r>
      <w:r>
        <w:rPr>
          <w:rFonts w:hint="eastAsia" w:ascii="仿宋_GB2312" w:eastAsia="仿宋_GB2312" w:cs="仿宋_GB2312"/>
          <w:color w:val="auto"/>
          <w:sz w:val="32"/>
          <w:szCs w:val="32"/>
          <w:lang w:val="en-US" w:eastAsia="zh-CN"/>
        </w:rPr>
        <w:t>20</w:t>
      </w:r>
      <w:r>
        <w:rPr>
          <w:rFonts w:hint="eastAsia" w:ascii="仿宋_GB2312" w:hAnsi="Times New Roman" w:eastAsia="仿宋_GB2312" w:cs="仿宋_GB2312"/>
          <w:color w:val="auto"/>
          <w:sz w:val="32"/>
          <w:szCs w:val="32"/>
          <w:lang w:val="en-US" w:eastAsia="zh-CN"/>
        </w:rPr>
        <w:t>年，</w:t>
      </w:r>
      <w:r>
        <w:rPr>
          <w:rFonts w:hint="eastAsia" w:ascii="仿宋_GB2312" w:eastAsia="仿宋_GB2312" w:cs="仿宋_GB2312"/>
          <w:color w:val="auto"/>
          <w:sz w:val="32"/>
          <w:szCs w:val="32"/>
          <w:lang w:val="en-US" w:eastAsia="zh-CN"/>
        </w:rPr>
        <w:t>福田区工商联</w:t>
      </w:r>
      <w:r>
        <w:rPr>
          <w:rFonts w:hint="eastAsia" w:ascii="仿宋_GB2312" w:hAnsi="Times New Roman" w:eastAsia="仿宋_GB2312" w:cs="仿宋_GB2312"/>
          <w:color w:val="auto"/>
          <w:sz w:val="32"/>
          <w:szCs w:val="32"/>
          <w:lang w:val="en-US" w:eastAsia="zh-CN"/>
        </w:rPr>
        <w:t>严格执行相关管理制度，保证项目的顺利实施，取得了明显的效果。项目资金拨付严格审批程序，使用规范，会计核算真实准确。此次绩效评价过程中未发现截留、挤占或挪用项目资金的情况。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2"/>
        <w:rPr>
          <w:rFonts w:hint="eastAsia" w:ascii="仿宋_GB2312" w:eastAsia="仿宋_GB2312" w:cs="仿宋_GB2312"/>
          <w:b/>
          <w:bCs/>
          <w:sz w:val="32"/>
          <w:szCs w:val="32"/>
          <w:lang w:eastAsia="zh-CN"/>
        </w:rPr>
      </w:pPr>
      <w:r>
        <w:rPr>
          <w:rFonts w:hint="eastAsia" w:ascii="仿宋_GB2312" w:eastAsia="仿宋_GB2312" w:cs="仿宋_GB2312"/>
          <w:b/>
          <w:bCs/>
          <w:sz w:val="32"/>
          <w:szCs w:val="32"/>
          <w:lang w:val="en-US" w:eastAsia="zh-CN"/>
        </w:rPr>
        <w:t>3.</w:t>
      </w:r>
      <w:r>
        <w:rPr>
          <w:rFonts w:hint="eastAsia" w:ascii="仿宋_GB2312" w:eastAsia="仿宋_GB2312" w:cs="仿宋_GB2312"/>
          <w:b/>
          <w:bCs/>
          <w:sz w:val="32"/>
          <w:szCs w:val="32"/>
        </w:rPr>
        <w:t>从项目</w:t>
      </w:r>
      <w:r>
        <w:rPr>
          <w:rFonts w:hint="eastAsia" w:ascii="仿宋_GB2312" w:eastAsia="仿宋_GB2312" w:cs="仿宋_GB2312"/>
          <w:b/>
          <w:bCs/>
          <w:sz w:val="32"/>
          <w:szCs w:val="32"/>
          <w:lang w:val="en-US" w:eastAsia="zh-CN"/>
        </w:rPr>
        <w:t>产出</w:t>
      </w:r>
      <w:r>
        <w:rPr>
          <w:rFonts w:hint="eastAsia" w:ascii="仿宋_GB2312" w:eastAsia="仿宋_GB2312" w:cs="仿宋_GB2312"/>
          <w:b/>
          <w:bCs/>
          <w:sz w:val="32"/>
          <w:szCs w:val="32"/>
        </w:rPr>
        <w:t>角度分析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该指标从数量指标、质量指标、时效指标、成本指标四个方面对项目决策情况进行评价，共涉及</w:t>
      </w:r>
      <w:r>
        <w:rPr>
          <w:rFonts w:hint="eastAsia" w:ascii="仿宋_GB2312" w:eastAsia="仿宋_GB2312" w:cs="仿宋_GB2312"/>
          <w:sz w:val="32"/>
          <w:szCs w:val="32"/>
          <w:lang w:val="en-US" w:eastAsia="zh-CN"/>
        </w:rPr>
        <w:t>7</w:t>
      </w:r>
      <w:r>
        <w:rPr>
          <w:rFonts w:hint="eastAsia" w:ascii="仿宋_GB2312" w:eastAsia="仿宋_GB2312" w:cs="仿宋_GB2312"/>
          <w:sz w:val="32"/>
          <w:szCs w:val="32"/>
          <w:lang w:eastAsia="zh-CN"/>
        </w:rPr>
        <w:t>个三级指标。满分30分，评价得分</w:t>
      </w:r>
      <w:r>
        <w:rPr>
          <w:rFonts w:hint="eastAsia" w:ascii="仿宋_GB2312" w:eastAsia="仿宋_GB2312" w:cs="仿宋_GB2312"/>
          <w:sz w:val="32"/>
          <w:szCs w:val="32"/>
          <w:lang w:val="en-US" w:eastAsia="zh-CN"/>
        </w:rPr>
        <w:t>30</w:t>
      </w:r>
      <w:r>
        <w:rPr>
          <w:rFonts w:hint="eastAsia" w:ascii="仿宋_GB2312" w:eastAsia="仿宋_GB2312" w:cs="仿宋_GB2312"/>
          <w:sz w:val="32"/>
          <w:szCs w:val="32"/>
          <w:lang w:eastAsia="zh-CN"/>
        </w:rPr>
        <w:t>分，得分率</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lang w:eastAsia="zh-CN"/>
        </w:rPr>
        <w:t>%，总体表现为“优”。具体评分情况如下：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（1）</w:t>
      </w:r>
      <w:r>
        <w:rPr>
          <w:rFonts w:hint="eastAsia" w:ascii="仿宋_GB2312" w:eastAsia="仿宋_GB2312" w:cs="仿宋_GB2312"/>
          <w:b/>
          <w:bCs/>
          <w:sz w:val="32"/>
          <w:szCs w:val="32"/>
          <w:lang w:val="en-US" w:eastAsia="zh-CN"/>
        </w:rPr>
        <w:t>成本控制情况。</w:t>
      </w:r>
      <w:r>
        <w:rPr>
          <w:rFonts w:hint="eastAsia" w:ascii="仿宋_GB2312" w:eastAsia="仿宋_GB2312" w:cs="仿宋_GB2312"/>
          <w:sz w:val="32"/>
          <w:szCs w:val="32"/>
          <w:lang w:val="en-US" w:eastAsia="zh-CN"/>
        </w:rPr>
        <w:t>福田区工商联按照厉行节约过“紧日子”的要求，严格控制项目支出，全年预算数153.5万元，实际支出153.44万元，成本控制率为99.96%，未发生超预算情况。</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项目产出数量目标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3" w:firstLineChars="200"/>
        <w:jc w:val="both"/>
        <w:textAlignment w:val="auto"/>
        <w:rPr>
          <w:rFonts w:hint="default"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①活动开展次数。</w:t>
      </w:r>
      <w:r>
        <w:rPr>
          <w:rFonts w:hint="eastAsia" w:ascii="仿宋_GB2312" w:eastAsia="仿宋_GB2312" w:cs="仿宋_GB2312"/>
          <w:sz w:val="32"/>
          <w:szCs w:val="32"/>
          <w:lang w:val="en-US" w:eastAsia="zh-CN"/>
        </w:rPr>
        <w:t>2020年举办企业家理想信念教育培训、春茗会、工商联界别座谈会、主题峰会、港澳青年交流同心互动讲坛、致敬经典活动政策宣讲会等活动共计10次</w:t>
      </w:r>
      <w:r>
        <w:rPr>
          <w:rFonts w:hint="eastAsia" w:ascii="仿宋_GB2312" w:hAnsi="Times New Roman" w:eastAsia="仿宋_GB2312" w:cs="仿宋_GB2312"/>
          <w:sz w:val="32"/>
          <w:szCs w:val="32"/>
          <w:lang w:val="en-US" w:eastAsia="zh-CN"/>
        </w:rPr>
        <w:t>，</w:t>
      </w:r>
      <w:r>
        <w:rPr>
          <w:rFonts w:hint="eastAsia" w:ascii="仿宋_GB2312" w:hAnsi="Times New Roman" w:eastAsia="仿宋_GB2312" w:cs="仿宋_GB2312"/>
          <w:sz w:val="32"/>
          <w:szCs w:val="32"/>
          <w:lang w:val="zh-CN" w:eastAsia="zh-CN"/>
        </w:rPr>
        <w:t>完成率达到1</w:t>
      </w:r>
      <w:r>
        <w:rPr>
          <w:rFonts w:hint="eastAsia" w:ascii="仿宋_GB2312" w:hAnsi="Times New Roman" w:eastAsia="仿宋_GB2312" w:cs="仿宋_GB2312"/>
          <w:sz w:val="32"/>
          <w:szCs w:val="32"/>
          <w:lang w:val="en-US" w:eastAsia="zh-CN"/>
        </w:rPr>
        <w:t>25</w:t>
      </w:r>
      <w:r>
        <w:rPr>
          <w:rFonts w:hint="eastAsia" w:ascii="仿宋_GB2312" w:hAnsi="Times New Roman" w:eastAsia="仿宋_GB2312" w:cs="仿宋_GB2312"/>
          <w:sz w:val="32"/>
          <w:szCs w:val="32"/>
          <w:lang w:val="zh-CN" w:eastAsia="zh-CN"/>
        </w:rPr>
        <w:t>%，</w:t>
      </w:r>
      <w:r>
        <w:rPr>
          <w:rFonts w:hint="eastAsia" w:ascii="仿宋_GB2312" w:hAnsi="Times New Roman" w:eastAsia="仿宋_GB2312" w:cs="仿宋_GB2312"/>
          <w:sz w:val="32"/>
          <w:szCs w:val="32"/>
          <w:lang w:val="en-US" w:eastAsia="zh-CN"/>
        </w:rPr>
        <w:t>故此项得满分</w:t>
      </w:r>
      <w:r>
        <w:rPr>
          <w:rFonts w:hint="eastAsia" w:ascii="仿宋_GB2312" w:hAnsi="Times New Roman" w:eastAsia="仿宋_GB2312" w:cs="仿宋_GB2312"/>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3" w:firstLineChars="200"/>
        <w:jc w:val="both"/>
        <w:textAlignment w:val="auto"/>
        <w:rPr>
          <w:rFonts w:hint="eastAsia" w:ascii="仿宋_GB2312" w:hAnsi="Times New Roman" w:eastAsia="仿宋_GB2312" w:cs="仿宋_GB2312"/>
          <w:sz w:val="32"/>
          <w:szCs w:val="32"/>
          <w:lang w:val="en-US" w:eastAsia="zh-CN"/>
        </w:rPr>
      </w:pPr>
      <w:r>
        <w:rPr>
          <w:rFonts w:hint="eastAsia" w:ascii="仿宋_GB2312" w:eastAsia="仿宋_GB2312" w:cs="仿宋_GB2312"/>
          <w:b/>
          <w:bCs/>
          <w:sz w:val="32"/>
          <w:szCs w:val="32"/>
          <w:lang w:val="en-US" w:eastAsia="zh-CN"/>
        </w:rPr>
        <w:t>②《福</w:t>
      </w:r>
      <w:r>
        <w:rPr>
          <w:rFonts w:hint="eastAsia" w:ascii="仿宋_GB2312" w:hAnsi="Times New Roman" w:eastAsia="仿宋_GB2312" w:cs="仿宋_GB2312"/>
          <w:b/>
          <w:bCs/>
          <w:sz w:val="32"/>
          <w:szCs w:val="32"/>
          <w:lang w:val="en-US" w:eastAsia="zh-CN"/>
        </w:rPr>
        <w:t>田工商联》杂志出版期数。</w:t>
      </w:r>
      <w:r>
        <w:rPr>
          <w:rFonts w:hint="eastAsia" w:ascii="仿宋_GB2312" w:hAnsi="Times New Roman" w:eastAsia="仿宋_GB2312" w:cs="仿宋_GB2312"/>
          <w:sz w:val="32"/>
          <w:szCs w:val="32"/>
          <w:lang w:val="en-US" w:eastAsia="zh-CN"/>
        </w:rPr>
        <w:t>2020年完成《福田工商联》杂志编辑工作，出版杂志共计6期，</w:t>
      </w:r>
      <w:r>
        <w:rPr>
          <w:rFonts w:hint="eastAsia" w:ascii="仿宋_GB2312" w:hAnsi="Times New Roman" w:eastAsia="仿宋_GB2312" w:cs="仿宋_GB2312"/>
          <w:sz w:val="32"/>
          <w:szCs w:val="32"/>
          <w:lang w:val="zh-CN" w:eastAsia="zh-CN"/>
        </w:rPr>
        <w:t>完成率达到100%，</w:t>
      </w:r>
      <w:r>
        <w:rPr>
          <w:rFonts w:hint="eastAsia" w:ascii="仿宋_GB2312" w:hAnsi="Times New Roman" w:eastAsia="仿宋_GB2312" w:cs="仿宋_GB2312"/>
          <w:sz w:val="32"/>
          <w:szCs w:val="32"/>
          <w:lang w:val="en-US" w:eastAsia="zh-CN"/>
        </w:rPr>
        <w:t>故此项得满分</w:t>
      </w:r>
      <w:r>
        <w:rPr>
          <w:rFonts w:hint="eastAsia" w:ascii="仿宋_GB2312" w:hAnsi="Times New Roman" w:eastAsia="仿宋_GB2312" w:cs="仿宋_GB2312"/>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项目质量</w:t>
      </w:r>
      <w:r>
        <w:rPr>
          <w:rFonts w:hint="eastAsia" w:ascii="仿宋_GB2312" w:eastAsia="仿宋_GB2312" w:cs="仿宋_GB2312"/>
          <w:sz w:val="32"/>
          <w:szCs w:val="32"/>
          <w:lang w:val="en-US" w:eastAsia="zh-CN"/>
        </w:rPr>
        <w:t>达标情况</w:t>
      </w:r>
      <w:r>
        <w:rPr>
          <w:rFonts w:hint="eastAsia" w:asci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①</w:t>
      </w:r>
      <w:r>
        <w:rPr>
          <w:rFonts w:hint="eastAsia" w:ascii="仿宋_GB2312" w:eastAsia="仿宋_GB2312" w:cs="仿宋_GB2312"/>
          <w:b/>
          <w:bCs/>
          <w:sz w:val="32"/>
          <w:szCs w:val="32"/>
          <w:lang w:val="en-US" w:eastAsia="zh-CN"/>
        </w:rPr>
        <w:t>活动开展人员参与率。</w:t>
      </w:r>
      <w:r>
        <w:rPr>
          <w:rFonts w:hint="eastAsia" w:ascii="仿宋_GB2312" w:eastAsia="仿宋_GB2312" w:cs="仿宋_GB2312"/>
          <w:b w:val="0"/>
          <w:bCs w:val="0"/>
          <w:sz w:val="32"/>
          <w:szCs w:val="32"/>
          <w:lang w:val="en-US" w:eastAsia="zh-CN"/>
        </w:rPr>
        <w:t>该指标用以考察项目实施活动开展人员参与情况，2020年福田区工商联通过</w:t>
      </w:r>
      <w:r>
        <w:rPr>
          <w:rFonts w:hint="eastAsia" w:ascii="仿宋_GB2312" w:eastAsia="仿宋_GB2312" w:cs="仿宋_GB2312"/>
          <w:sz w:val="32"/>
          <w:szCs w:val="32"/>
          <w:lang w:val="en-US" w:eastAsia="zh-CN"/>
        </w:rPr>
        <w:t>组织各种活动，加强企业交流合作，助力优化营商环境，促进非公经济两个健康发展，活动开展人员参与率达100%，故此项得满分。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②</w:t>
      </w:r>
      <w:r>
        <w:rPr>
          <w:rFonts w:hint="eastAsia" w:ascii="仿宋_GB2312" w:eastAsia="仿宋_GB2312" w:cs="仿宋_GB2312"/>
          <w:b/>
          <w:bCs/>
          <w:sz w:val="32"/>
          <w:szCs w:val="32"/>
          <w:lang w:val="en-US" w:eastAsia="zh-CN"/>
        </w:rPr>
        <w:t>杂志出版合格率。</w:t>
      </w:r>
      <w:r>
        <w:rPr>
          <w:rFonts w:hint="eastAsia" w:ascii="仿宋_GB2312" w:eastAsia="仿宋_GB2312" w:cs="仿宋_GB2312"/>
          <w:b w:val="0"/>
          <w:bCs w:val="0"/>
          <w:sz w:val="32"/>
          <w:szCs w:val="32"/>
          <w:lang w:val="en-US" w:eastAsia="zh-CN"/>
        </w:rPr>
        <w:t>该指标用以考察项目实施杂志出版合格情况，2020年《福田工商联》杂志出版共计6期，均经过审核评定后发表，</w:t>
      </w:r>
      <w:r>
        <w:rPr>
          <w:rFonts w:hint="eastAsia" w:ascii="仿宋_GB2312" w:eastAsia="仿宋_GB2312" w:cs="仿宋_GB2312"/>
          <w:sz w:val="32"/>
          <w:szCs w:val="32"/>
          <w:lang w:val="en-US" w:eastAsia="zh-CN"/>
        </w:rPr>
        <w:t>杂志出版合格率达100%，故此项得满分。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）项目产出时效目标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①</w:t>
      </w:r>
      <w:r>
        <w:rPr>
          <w:rFonts w:hint="eastAsia" w:ascii="仿宋_GB2312" w:eastAsia="仿宋_GB2312" w:cs="仿宋_GB2312"/>
          <w:b/>
          <w:bCs/>
          <w:sz w:val="32"/>
          <w:szCs w:val="32"/>
          <w:lang w:val="en-US" w:eastAsia="zh-CN"/>
        </w:rPr>
        <w:t>活动开展及时性。</w:t>
      </w:r>
      <w:r>
        <w:rPr>
          <w:rFonts w:hint="eastAsia" w:ascii="仿宋_GB2312" w:eastAsia="仿宋_GB2312" w:cs="仿宋_GB2312"/>
          <w:sz w:val="32"/>
          <w:szCs w:val="32"/>
          <w:lang w:val="en-US" w:eastAsia="zh-CN"/>
        </w:rPr>
        <w:t>该指标用以考察活动开展工作开展完成及时情况。企业家理想信念教育培训、春茗会、工商联界别座谈会、主题峰会、港澳青年交流同心互动讲坛、致敬经典活动政策宣讲会等活动均按时开展，活动开展及时率达100%，故此项得满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②</w:t>
      </w:r>
      <w:r>
        <w:rPr>
          <w:rFonts w:hint="eastAsia" w:ascii="仿宋_GB2312" w:eastAsia="仿宋_GB2312" w:cs="仿宋_GB2312"/>
          <w:b/>
          <w:bCs/>
          <w:sz w:val="32"/>
          <w:szCs w:val="32"/>
          <w:lang w:val="en-US" w:eastAsia="zh-CN"/>
        </w:rPr>
        <w:t>杂志出版及时率。</w:t>
      </w:r>
      <w:r>
        <w:rPr>
          <w:rFonts w:hint="eastAsia" w:ascii="仿宋_GB2312" w:eastAsia="仿宋_GB2312" w:cs="仿宋_GB2312"/>
          <w:sz w:val="32"/>
          <w:szCs w:val="32"/>
          <w:lang w:val="en-US" w:eastAsia="zh-CN"/>
        </w:rPr>
        <w:t>该指标用以考察杂志出版工作开展完成及时情况。2020年《福田工商联》6期杂志均按时出版，及时率达100%，故此项得满分。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3" w:firstLineChars="200"/>
        <w:jc w:val="both"/>
        <w:textAlignment w:val="auto"/>
        <w:outlineLvl w:val="2"/>
        <w:rPr>
          <w:rFonts w:hint="eastAsia" w:ascii="仿宋_GB2312" w:eastAsia="仿宋_GB2312" w:cs="仿宋_GB2312"/>
          <w:sz w:val="32"/>
          <w:szCs w:val="32"/>
          <w:lang w:eastAsia="zh-CN"/>
        </w:rPr>
      </w:pPr>
      <w:r>
        <w:rPr>
          <w:rFonts w:hint="eastAsia" w:ascii="仿宋_GB2312" w:eastAsia="仿宋_GB2312" w:cs="仿宋_GB2312"/>
          <w:b/>
          <w:bCs/>
          <w:sz w:val="32"/>
          <w:szCs w:val="32"/>
          <w:lang w:val="en-US" w:eastAsia="zh-CN"/>
        </w:rPr>
        <w:t>4.</w:t>
      </w:r>
      <w:r>
        <w:rPr>
          <w:rFonts w:hint="eastAsia" w:ascii="仿宋_GB2312" w:eastAsia="仿宋_GB2312" w:cs="仿宋_GB2312"/>
          <w:b/>
          <w:bCs/>
          <w:sz w:val="32"/>
          <w:szCs w:val="32"/>
        </w:rPr>
        <w:t>从项目效益角度分析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该指标从</w:t>
      </w:r>
      <w:r>
        <w:rPr>
          <w:rFonts w:hint="eastAsia" w:ascii="仿宋_GB2312" w:eastAsia="仿宋_GB2312" w:cs="仿宋_GB2312"/>
          <w:sz w:val="32"/>
          <w:szCs w:val="32"/>
          <w:lang w:val="en-US" w:eastAsia="zh-CN"/>
        </w:rPr>
        <w:t>经济</w:t>
      </w:r>
      <w:r>
        <w:rPr>
          <w:rFonts w:hint="eastAsia" w:ascii="仿宋_GB2312" w:eastAsia="仿宋_GB2312" w:cs="仿宋_GB2312"/>
          <w:sz w:val="32"/>
          <w:szCs w:val="32"/>
          <w:lang w:eastAsia="zh-CN"/>
        </w:rPr>
        <w:t>效益、社会效益、可持续影响、满意度指标、长效管理机制</w:t>
      </w:r>
      <w:r>
        <w:rPr>
          <w:rFonts w:hint="eastAsia" w:ascii="仿宋_GB2312" w:eastAsia="仿宋_GB2312" w:cs="仿宋_GB2312"/>
          <w:sz w:val="32"/>
          <w:szCs w:val="32"/>
          <w:lang w:val="en-US" w:eastAsia="zh-CN"/>
        </w:rPr>
        <w:t>五</w:t>
      </w:r>
      <w:r>
        <w:rPr>
          <w:rFonts w:hint="eastAsia" w:ascii="仿宋_GB2312" w:eastAsia="仿宋_GB2312" w:cs="仿宋_GB2312"/>
          <w:sz w:val="32"/>
          <w:szCs w:val="32"/>
          <w:lang w:eastAsia="zh-CN"/>
        </w:rPr>
        <w:t>个方面对项目效益情况进行评价，共涉及</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个三级指标。满分30分，评价得分2</w:t>
      </w:r>
      <w:r>
        <w:rPr>
          <w:rFonts w:hint="eastAsia" w:ascii="仿宋_GB2312" w:eastAsia="仿宋_GB2312" w:cs="仿宋_GB2312"/>
          <w:sz w:val="32"/>
          <w:szCs w:val="32"/>
          <w:lang w:val="en-US" w:eastAsia="zh-CN"/>
        </w:rPr>
        <w:t>7</w:t>
      </w:r>
      <w:r>
        <w:rPr>
          <w:rFonts w:hint="eastAsia" w:ascii="仿宋_GB2312" w:eastAsia="仿宋_GB2312" w:cs="仿宋_GB2312"/>
          <w:sz w:val="32"/>
          <w:szCs w:val="32"/>
          <w:lang w:eastAsia="zh-CN"/>
        </w:rPr>
        <w:t>分，得分率9</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%，总体表现为“优”。具体评分情况如下：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eastAsia="zh-CN"/>
        </w:rPr>
        <w:t>）项目</w:t>
      </w:r>
      <w:r>
        <w:rPr>
          <w:rFonts w:hint="eastAsia" w:ascii="仿宋_GB2312" w:eastAsia="仿宋_GB2312" w:cs="仿宋_GB2312"/>
          <w:sz w:val="32"/>
          <w:szCs w:val="32"/>
          <w:lang w:val="en-US" w:eastAsia="zh-CN"/>
        </w:rPr>
        <w:t>经济</w:t>
      </w:r>
      <w:r>
        <w:rPr>
          <w:rFonts w:hint="eastAsia" w:ascii="仿宋_GB2312" w:eastAsia="仿宋_GB2312" w:cs="仿宋_GB2312"/>
          <w:sz w:val="32"/>
          <w:szCs w:val="32"/>
          <w:lang w:eastAsia="zh-CN"/>
        </w:rPr>
        <w:t>效益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2020年</w:t>
      </w:r>
      <w:r>
        <w:rPr>
          <w:rFonts w:hint="eastAsia" w:ascii="仿宋_GB2312" w:eastAsia="仿宋_GB2312" w:cs="仿宋_GB2312"/>
          <w:color w:val="auto"/>
          <w:sz w:val="32"/>
          <w:szCs w:val="32"/>
          <w:lang w:val="en-US" w:eastAsia="zh-CN"/>
        </w:rPr>
        <w:t>福田区工商联全力助力民营企业融入深圳建设先行示范区和深港科技创新合作区建设，为福田打造“四大中心”，建设高质量发展典范城区发挥更大作用。</w:t>
      </w:r>
      <w:r>
        <w:rPr>
          <w:rFonts w:hint="eastAsia" w:ascii="仿宋_GB2312" w:eastAsia="仿宋_GB2312" w:cs="仿宋_GB2312"/>
          <w:sz w:val="32"/>
          <w:szCs w:val="32"/>
          <w:lang w:eastAsia="zh-CN"/>
        </w:rPr>
        <w:t>引导辖区民营企业家融入“一轴两翼五廊”发展格局，优化服务非公经济“两个健康”，</w:t>
      </w:r>
      <w:r>
        <w:rPr>
          <w:rFonts w:hint="eastAsia" w:ascii="仿宋_GB2312" w:eastAsia="仿宋_GB2312" w:cs="仿宋_GB2312"/>
          <w:sz w:val="32"/>
          <w:szCs w:val="32"/>
          <w:lang w:val="en-US" w:eastAsia="zh-CN"/>
        </w:rPr>
        <w:t>有效助力民营企业经济发展</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故此项得满分。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）项目</w:t>
      </w:r>
      <w:r>
        <w:rPr>
          <w:rFonts w:hint="eastAsia" w:ascii="仿宋_GB2312" w:eastAsia="仿宋_GB2312" w:cs="仿宋_GB2312"/>
          <w:sz w:val="32"/>
          <w:szCs w:val="32"/>
          <w:lang w:val="en-US" w:eastAsia="zh-CN"/>
        </w:rPr>
        <w:t>社会</w:t>
      </w:r>
      <w:r>
        <w:rPr>
          <w:rFonts w:hint="eastAsia" w:ascii="仿宋_GB2312" w:eastAsia="仿宋_GB2312" w:cs="仿宋_GB2312"/>
          <w:sz w:val="32"/>
          <w:szCs w:val="32"/>
          <w:lang w:eastAsia="zh-CN"/>
        </w:rPr>
        <w:t>效益</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2020年</w:t>
      </w:r>
      <w:r>
        <w:rPr>
          <w:rFonts w:hint="eastAsia" w:ascii="仿宋_GB2312" w:eastAsia="仿宋_GB2312" w:cs="仿宋_GB2312"/>
          <w:color w:val="auto"/>
          <w:sz w:val="32"/>
          <w:szCs w:val="32"/>
          <w:lang w:val="en-US" w:eastAsia="zh-CN"/>
        </w:rPr>
        <w:t>福田区工商</w:t>
      </w:r>
      <w:r>
        <w:rPr>
          <w:rFonts w:hint="eastAsia" w:ascii="仿宋_GB2312" w:eastAsia="仿宋_GB2312" w:cs="仿宋_GB2312"/>
          <w:sz w:val="32"/>
          <w:szCs w:val="32"/>
          <w:lang w:eastAsia="zh-CN"/>
        </w:rPr>
        <w:t>聚焦粤港澳大湾区，开展“八大行动”，加快建设高质量发展的社会主义现代化典范城区，助力民营企业高质量发展，</w:t>
      </w:r>
      <w:r>
        <w:rPr>
          <w:rFonts w:hint="eastAsia" w:ascii="仿宋_GB2312" w:eastAsia="仿宋_GB2312" w:cs="仿宋_GB2312"/>
          <w:sz w:val="32"/>
          <w:szCs w:val="32"/>
          <w:lang w:val="en-US" w:eastAsia="zh-CN"/>
        </w:rPr>
        <w:t>有效为民营企业高质量营造优良营商环境</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故此项得满分。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lang w:val="en-US" w:eastAsia="zh-CN"/>
        </w:rPr>
        <w:t>3</w:t>
      </w:r>
      <w:r>
        <w:rPr>
          <w:rFonts w:hint="eastAsia" w:ascii="仿宋_GB2312" w:hAnsi="Times New Roman" w:eastAsia="仿宋_GB2312" w:cs="仿宋_GB2312"/>
          <w:sz w:val="32"/>
          <w:szCs w:val="32"/>
          <w:lang w:eastAsia="zh-CN"/>
        </w:rPr>
        <w:t>）可持续影响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hAnsi="Times New Roman" w:eastAsia="仿宋_GB2312" w:cs="仿宋_GB2312"/>
          <w:sz w:val="32"/>
          <w:szCs w:val="32"/>
          <w:lang w:eastAsia="zh-CN"/>
        </w:rPr>
      </w:pPr>
      <w:r>
        <w:rPr>
          <w:rFonts w:hint="eastAsia" w:ascii="仿宋_GB2312" w:eastAsia="仿宋_GB2312" w:cs="仿宋_GB2312"/>
          <w:sz w:val="32"/>
          <w:szCs w:val="32"/>
          <w:lang w:val="en-US" w:eastAsia="zh-CN"/>
        </w:rPr>
        <w:t>2020年</w:t>
      </w:r>
      <w:r>
        <w:rPr>
          <w:rFonts w:hint="eastAsia" w:ascii="仿宋_GB2312" w:eastAsia="仿宋_GB2312" w:cs="仿宋_GB2312"/>
          <w:color w:val="auto"/>
          <w:sz w:val="32"/>
          <w:szCs w:val="32"/>
          <w:lang w:val="en-US" w:eastAsia="zh-CN"/>
        </w:rPr>
        <w:t>福田区工商</w:t>
      </w:r>
      <w:r>
        <w:rPr>
          <w:rFonts w:hint="eastAsia" w:ascii="仿宋_GB2312" w:hAnsi="Times New Roman" w:eastAsia="仿宋_GB2312" w:cs="仿宋_GB2312"/>
          <w:sz w:val="32"/>
          <w:szCs w:val="32"/>
          <w:lang w:eastAsia="zh-CN"/>
        </w:rPr>
        <w:t>充分发挥党委和政府桥梁纽带作用，助力优化营商环境，促进非公经济两健康发展，</w:t>
      </w:r>
      <w:r>
        <w:rPr>
          <w:rFonts w:hint="eastAsia" w:ascii="仿宋_GB2312" w:hAnsi="Times New Roman" w:eastAsia="仿宋_GB2312" w:cs="仿宋_GB2312"/>
          <w:sz w:val="32"/>
          <w:szCs w:val="32"/>
          <w:lang w:val="en-US" w:eastAsia="zh-CN"/>
        </w:rPr>
        <w:t>有效引导非公经济企业积极参与粤港澳大湾区建设</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故此项得满分。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lang w:val="en-US" w:eastAsia="zh-CN"/>
        </w:rPr>
        <w:t>4</w:t>
      </w:r>
      <w:r>
        <w:rPr>
          <w:rFonts w:hint="eastAsia" w:ascii="仿宋_GB2312" w:hAnsi="Times New Roman" w:eastAsia="仿宋_GB2312" w:cs="仿宋_GB2312"/>
          <w:sz w:val="32"/>
          <w:szCs w:val="32"/>
          <w:lang w:eastAsia="zh-CN"/>
        </w:rPr>
        <w:t>）服务对象满意度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default" w:ascii="仿宋_GB2312" w:hAnsi="Times New Roman" w:eastAsia="仿宋_GB2312" w:cs="仿宋_GB2312"/>
          <w:sz w:val="32"/>
          <w:szCs w:val="32"/>
          <w:lang w:val="en-US" w:eastAsia="zh-CN"/>
        </w:rPr>
      </w:pPr>
      <w:r>
        <w:rPr>
          <w:rFonts w:hint="eastAsia" w:ascii="仿宋_GB2312" w:eastAsia="仿宋_GB2312" w:cs="仿宋_GB2312"/>
          <w:sz w:val="32"/>
          <w:szCs w:val="32"/>
          <w:lang w:val="en-US" w:eastAsia="zh-CN"/>
        </w:rPr>
        <w:t>2020年</w:t>
      </w:r>
      <w:r>
        <w:rPr>
          <w:rFonts w:hint="eastAsia" w:ascii="仿宋_GB2312" w:eastAsia="仿宋_GB2312" w:cs="仿宋_GB2312"/>
          <w:color w:val="auto"/>
          <w:sz w:val="32"/>
          <w:szCs w:val="32"/>
          <w:lang w:val="en-US" w:eastAsia="zh-CN"/>
        </w:rPr>
        <w:t>福田区工商开展满意度问卷调查，但未收到群众投诉，酌情扣3分。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lang w:val="en-US" w:eastAsia="zh-CN"/>
        </w:rPr>
        <w:t>5</w:t>
      </w:r>
      <w:r>
        <w:rPr>
          <w:rFonts w:hint="eastAsia" w:ascii="仿宋_GB2312" w:hAnsi="Times New Roman" w:eastAsia="仿宋_GB2312" w:cs="仿宋_GB2312"/>
          <w:sz w:val="32"/>
          <w:szCs w:val="32"/>
          <w:lang w:eastAsia="zh-CN"/>
        </w:rPr>
        <w:t>）长效管理机制</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zh-CN" w:eastAsia="zh-CN"/>
        </w:rPr>
        <w:t>绩效跟踪评价</w:t>
      </w:r>
      <w:r>
        <w:rPr>
          <w:rFonts w:hint="eastAsia" w:ascii="仿宋_GB2312" w:hAnsi="仿宋_GB2312" w:eastAsia="仿宋_GB2312" w:cs="仿宋_GB2312"/>
          <w:sz w:val="32"/>
          <w:szCs w:val="32"/>
          <w:lang w:val="zh-CN" w:eastAsia="zh-CN"/>
        </w:rPr>
        <w:t>指标用以考察是否有对项目进行绩效评价。包括是否有开展绩效自评、绩效评价结果是否按要求公开、是否针对绩效评价结果进行整改反馈。该指标分值为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分，评价得分为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分。2020年</w:t>
      </w:r>
      <w:r>
        <w:rPr>
          <w:rFonts w:hint="eastAsia" w:ascii="仿宋_GB2312" w:hAnsi="仿宋_GB2312" w:eastAsia="仿宋_GB2312" w:cs="仿宋_GB2312"/>
          <w:sz w:val="32"/>
          <w:szCs w:val="32"/>
          <w:lang w:val="en-US" w:eastAsia="zh-CN"/>
        </w:rPr>
        <w:t>其他工作</w:t>
      </w:r>
      <w:r>
        <w:rPr>
          <w:rFonts w:hint="eastAsia" w:ascii="仿宋_GB2312" w:hAnsi="仿宋_GB2312" w:eastAsia="仿宋_GB2312" w:cs="仿宋_GB2312"/>
          <w:sz w:val="32"/>
          <w:szCs w:val="32"/>
          <w:lang w:val="zh-CN" w:eastAsia="zh-CN"/>
        </w:rPr>
        <w:t>项目于2020年中进行了整改反馈，2021年4月份开展了绩效自评，</w:t>
      </w:r>
      <w:r>
        <w:rPr>
          <w:rFonts w:hint="eastAsia" w:ascii="仿宋_GB2312" w:hAnsi="仿宋_GB2312" w:eastAsia="仿宋_GB2312" w:cs="仿宋_GB2312"/>
          <w:sz w:val="32"/>
          <w:szCs w:val="32"/>
          <w:lang w:val="en-US" w:eastAsia="zh-CN"/>
        </w:rPr>
        <w:t>故此项得满分。</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outlineLvl w:val="0"/>
        <w:rPr>
          <w:rFonts w:ascii="黑体" w:hAnsi="黑体" w:eastAsia="黑体"/>
          <w:sz w:val="32"/>
          <w:szCs w:val="32"/>
        </w:rPr>
      </w:pPr>
      <w:r>
        <w:rPr>
          <w:rFonts w:hint="eastAsia" w:ascii="黑体" w:hAnsi="黑体" w:eastAsia="黑体" w:cs="黑体"/>
          <w:sz w:val="32"/>
          <w:szCs w:val="32"/>
        </w:rPr>
        <w:t>三、取得的成效</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（一）引导非公经济人士有序参政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年对19批次200余名非公经济人士进行了综合评价，推荐优秀非公经济代表人士担任市七届政协委员、市七届人大代表候选人建议人选、广东省、深圳市劳动模范、“五四青年奖章”、红树林先进个人和先进集体评奖人选，着力提升非公经济代表人士政治参与和社会影响力。</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（二）抗疫纾困，精准服务企业复工复产</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区委分管领导带队走访调研收集近200家重点企业困难诉求，及时采取减税降费、租金减免等措施缓解困难。开展抗击疫情心理援助公益行动，成立工作专班，用好联动机制，推进“援企稳岗扩就业·暖企行动”。深入调研，解决企业难点堵点。建立常态化调研机制，广泛走访民营企业和行业商协会，全面了解企业疫情防控及复工复产情况，帮助企业反映问题并协调解决。同时，组织开展重点课题调研，问计于企，问需于企形成调研报告17篇，“绿色”通道直报区委区政府主要领导同志，其中5篇获得区主要领导批示肯定，2篇被收录于区重点课题调研成果汇编。同时，利用走访调研主动送政策上门，举办宣讲会细化解读扶持政策，印制发放宣传册5,000余份，利用“两微一端”开展“云宣讲”，制作“福企11条”“福企新10条”、“三小场所平安复工”政策小视频，通过微信公众号、抖音、融媒体等平台宣传推广，确保惠企政策落地落实。联合深圳晚报、喜马拉雅制作有声专辑，宣传福田民企抗疫爱心善举、感人事迹，共计上线13期，累计收听超30万人次。</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（三）强化政企沟通，优化营商环境</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组织召开政企座谈会，市、区领导和18个区委区政府职能部门、11家民营企业、10家行业商协会代表出席座谈，收集产业政策扶持、办公用地支持等19个方面共63个问题和建议，协调推动职能部门研究解决，帮助企业应对困难、增强信心、渡过难关</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（四）推进党政领导联系行业商协会，充分盘活商协会优势资源</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率先建立区党政领导联系行业商协会工作机制，构建13名区党政领导联系、20个职能部门参与、覆盖辖区110家行业商协会、辐射重点民营企业近5万家的工作网络 。明确党政领导要落实“3个1”（每年至少1次走访调研、召开1次交流座谈会、组织1次专题汇报）责任。今年以来，区党政领导联系行业商协会50家次，收集行业商协会重点、难点和共性问题70余条，推动市区相关部门协调解决。实施优质服务行动，助力民企高质量发展</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（五）强化保障，优化法治营商环境</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率先建立民营企业司法保障服务体系，与区公、检、法、司建立直联制度，构建民营企业多元化纠纷解决体系，充分保障民营企业合法权益。上线“区工商联政务与法律服务系统”，提供7*24小时法律顾问服务，帮助企业防范化解法律风险。联合银行、证券、基金、保险等行业协会，打造聚合式“金融超市”，推动惠企金融政策落实。与4家银行签订银企合作协议，联合招商银行组织辖区15家股份公司开展金融项目投资交流会，联合交通银行首创“科创审批中心”，破解企业融资难问题。举办“新基建、新消费、新科技、新制造”经济高峰会议</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政企座谈会，向辖区世界500强、总部企业、民营企业及行业商协会代表宣传“创业福田营商福地”政策红利和诚意，引导民营企业积极投身河套深港科技创新合作区、香蜜湖新金融中心、环中心公园活力城区“三大新引擎”建设。举办2020人工智能前沿、趋势与应用系列峰会、“科技赋能品质生活”深圳科技生活展等活动，聚焦福田人工智能产业，推动5G+AI赋能产业发展。</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3" w:firstLineChars="200"/>
        <w:jc w:val="both"/>
        <w:textAlignment w:val="auto"/>
        <w:outlineLvl w:val="1"/>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bCs/>
          <w:sz w:val="32"/>
          <w:szCs w:val="32"/>
          <w:highlight w:val="none"/>
          <w:lang w:val="en-US" w:eastAsia="zh-CN"/>
        </w:rPr>
        <w:t>（六）</w:t>
      </w:r>
      <w:r>
        <w:rPr>
          <w:rFonts w:hint="eastAsia" w:ascii="楷体_GB2312" w:hAnsi="楷体_GB2312" w:eastAsia="楷体_GB2312" w:cs="楷体_GB2312"/>
          <w:b/>
          <w:bCs/>
          <w:sz w:val="32"/>
          <w:szCs w:val="32"/>
          <w:highlight w:val="none"/>
        </w:rPr>
        <w:t>数字</w:t>
      </w:r>
      <w:r>
        <w:rPr>
          <w:rFonts w:hint="eastAsia" w:ascii="楷体_GB2312" w:hAnsi="楷体_GB2312" w:eastAsia="楷体_GB2312" w:cs="楷体_GB2312"/>
          <w:b/>
          <w:bCs/>
          <w:sz w:val="32"/>
          <w:szCs w:val="32"/>
          <w:highlight w:val="none"/>
          <w:lang w:eastAsia="zh-CN"/>
        </w:rPr>
        <w:t>工商联</w:t>
      </w:r>
      <w:r>
        <w:rPr>
          <w:rFonts w:hint="eastAsia" w:ascii="楷体_GB2312" w:hAnsi="楷体_GB2312" w:eastAsia="楷体_GB2312" w:cs="楷体_GB2312"/>
          <w:b/>
          <w:bCs/>
          <w:sz w:val="32"/>
          <w:szCs w:val="32"/>
          <w:highlight w:val="none"/>
        </w:rPr>
        <w:t>赋能，凝心聚力画出最大同心圆</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开办网上“福田商学院”，免费为357名企业高管授课，累计学习次数达3</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000余人次。联合招商银行举办非公经济代表人士高级研修班，目前已开展4期课程，培训企业家累计400余人次。升级“福田工商联”微信平台功能，扩大《福田工商联》杂志覆盖面，灵活采取微博、直播等新媒体传播方式，宣传辖区非公有制企业260多家（次），推送120多条政策动态，为民企提供方便快捷高效的服务，提升辖区民营企业的影响力。</w:t>
      </w:r>
      <w:r>
        <w:rPr>
          <w:rFonts w:hint="eastAsia" w:ascii="仿宋_GB2312" w:hAnsi="仿宋_GB2312" w:eastAsia="仿宋_GB2312" w:cs="仿宋_GB2312"/>
          <w:b w:val="0"/>
          <w:bCs w:val="0"/>
          <w:sz w:val="32"/>
          <w:szCs w:val="32"/>
          <w:highlight w:val="none"/>
          <w:lang w:eastAsia="zh-CN"/>
        </w:rPr>
        <w:t>上线“区工商联政务与法律服务系统”，提供</w:t>
      </w:r>
      <w:r>
        <w:rPr>
          <w:rFonts w:hint="eastAsia" w:ascii="仿宋_GB2312" w:hAnsi="仿宋_GB2312" w:eastAsia="仿宋_GB2312" w:cs="仿宋_GB2312"/>
          <w:b w:val="0"/>
          <w:bCs w:val="0"/>
          <w:sz w:val="32"/>
          <w:szCs w:val="32"/>
          <w:highlight w:val="none"/>
          <w:lang w:val="en-US" w:eastAsia="zh-CN"/>
        </w:rPr>
        <w:t>7*24小时法律顾问服务，</w:t>
      </w:r>
      <w:r>
        <w:rPr>
          <w:rFonts w:hint="eastAsia" w:ascii="仿宋_GB2312" w:hAnsi="仿宋_GB2312" w:eastAsia="仿宋_GB2312" w:cs="仿宋_GB2312"/>
          <w:b w:val="0"/>
          <w:bCs w:val="0"/>
          <w:sz w:val="32"/>
          <w:szCs w:val="32"/>
          <w:highlight w:val="none"/>
          <w:lang w:eastAsia="zh-CN"/>
        </w:rPr>
        <w:t>帮助企业防范化解法律风险，</w:t>
      </w:r>
      <w:r>
        <w:rPr>
          <w:rFonts w:hint="eastAsia" w:ascii="仿宋_GB2312" w:hAnsi="仿宋_GB2312" w:eastAsia="仿宋_GB2312" w:cs="仿宋_GB2312"/>
          <w:b w:val="0"/>
          <w:bCs w:val="0"/>
          <w:sz w:val="32"/>
          <w:szCs w:val="32"/>
          <w:highlight w:val="none"/>
        </w:rPr>
        <w:t>打破线上线下壁垒，数字化智慧服务辖区民营企业，助推民营企业实现新一轮高质量、跨域式发展。</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outlineLvl w:val="0"/>
        <w:rPr>
          <w:rFonts w:hint="eastAsia" w:eastAsia="仿宋_GB2312" w:cs="Times New Roman"/>
          <w:b w:val="0"/>
          <w:bCs w:val="0"/>
          <w:i w:val="0"/>
          <w:caps w:val="0"/>
          <w:color w:val="auto"/>
          <w:spacing w:val="0"/>
          <w:sz w:val="32"/>
          <w:szCs w:val="32"/>
          <w:u w:val="none"/>
          <w:lang w:val="en-US" w:eastAsia="zh-CN"/>
        </w:rPr>
      </w:pPr>
      <w:r>
        <w:rPr>
          <w:rFonts w:hint="eastAsia" w:ascii="黑体" w:hAnsi="黑体" w:eastAsia="黑体" w:cs="黑体"/>
          <w:sz w:val="32"/>
          <w:szCs w:val="32"/>
        </w:rPr>
        <w:t>四、存在的问题</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3" w:firstLineChars="200"/>
        <w:jc w:val="both"/>
        <w:textAlignment w:val="auto"/>
        <w:outlineLvl w:val="1"/>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w:t>
      </w:r>
      <w:r>
        <w:rPr>
          <w:rFonts w:hint="default" w:ascii="楷体_GB2312" w:hAnsi="楷体_GB2312" w:eastAsia="楷体_GB2312" w:cs="楷体_GB2312"/>
          <w:b/>
          <w:bCs/>
          <w:sz w:val="32"/>
          <w:szCs w:val="32"/>
          <w:highlight w:val="none"/>
          <w:lang w:val="en-US" w:eastAsia="zh-CN"/>
        </w:rPr>
        <w:t>绩效指标设置不规范，指标编报质量有待提高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u w:val="none"/>
          <w:lang w:val="en-US" w:eastAsia="zh-CN"/>
        </w:rPr>
      </w:pPr>
      <w:r>
        <w:rPr>
          <w:rFonts w:hint="eastAsia" w:ascii="仿宋_GB2312" w:hAnsi="仿宋_GB2312" w:eastAsia="仿宋_GB2312" w:cs="仿宋_GB2312"/>
          <w:b w:val="0"/>
          <w:bCs w:val="0"/>
          <w:i w:val="0"/>
          <w:caps w:val="0"/>
          <w:color w:val="auto"/>
          <w:spacing w:val="0"/>
          <w:sz w:val="32"/>
          <w:szCs w:val="32"/>
          <w:u w:val="none"/>
          <w:lang w:val="en-US" w:eastAsia="zh-CN"/>
        </w:rPr>
        <w:t>从2020年其他工作项目支出自评表来看，本项目的数量指标、质量指标、时效指标、社会效益指标和满意度指标指标设置存在不准确、不规范的问题，例如数量指标设置不够简洁，内容包括“举办活动”与“《福田工商联》杂志出版”两项工作，绩效目标的设置不够量化，绩效指标不够明确化，绩效指标表述有待进一步完善。</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3" w:firstLineChars="200"/>
        <w:jc w:val="both"/>
        <w:textAlignment w:val="auto"/>
        <w:outlineLvl w:val="1"/>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（二）未开展满意度调查，辖区群众满意度有待提高</w:t>
      </w:r>
    </w:p>
    <w:p>
      <w:pPr>
        <w:keepNext w:val="0"/>
        <w:keepLines w:val="0"/>
        <w:pageBreakBefore w:val="0"/>
        <w:numPr>
          <w:ilvl w:val="0"/>
          <w:numId w:val="0"/>
        </w:numPr>
        <w:kinsoku/>
        <w:wordWrap/>
        <w:overflowPunct/>
        <w:topLinePunct w:val="0"/>
        <w:autoSpaceDE/>
        <w:autoSpaceDN/>
        <w:bidi w:val="0"/>
        <w:spacing w:line="580" w:lineRule="exact"/>
        <w:ind w:left="0" w:right="0" w:rightChars="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caps w:val="0"/>
          <w:color w:val="auto"/>
          <w:spacing w:val="0"/>
          <w:kern w:val="0"/>
          <w:sz w:val="32"/>
          <w:szCs w:val="32"/>
          <w:u w:val="none"/>
          <w:lang w:val="en-US" w:eastAsia="zh-CN" w:bidi="ar"/>
        </w:rPr>
        <w:t>2020年福田区工商开展满意度问卷调查，但未收到群众投诉，辖区群众满意度有待提高。</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outlineLvl w:val="0"/>
        <w:rPr>
          <w:rFonts w:ascii="黑体" w:hAnsi="黑体" w:eastAsia="黑体"/>
          <w:sz w:val="32"/>
          <w:szCs w:val="32"/>
        </w:rPr>
      </w:pPr>
      <w:r>
        <w:rPr>
          <w:rFonts w:hint="eastAsia" w:ascii="黑体" w:hAnsi="黑体" w:eastAsia="黑体" w:cs="黑体"/>
          <w:sz w:val="32"/>
          <w:szCs w:val="32"/>
        </w:rPr>
        <w:t>五、相关建议和整改措施</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（一）加强绩效目标编报管理，提高绩效指标科学性</w:t>
      </w:r>
    </w:p>
    <w:p>
      <w:pPr>
        <w:keepNext w:val="0"/>
        <w:keepLines w:val="0"/>
        <w:pageBreakBefore w:val="0"/>
        <w:numPr>
          <w:ilvl w:val="0"/>
          <w:numId w:val="0"/>
        </w:numPr>
        <w:kinsoku/>
        <w:wordWrap/>
        <w:overflowPunct/>
        <w:topLinePunct w:val="0"/>
        <w:autoSpaceDE/>
        <w:autoSpaceDN/>
        <w:bidi w:val="0"/>
        <w:spacing w:line="580" w:lineRule="exact"/>
        <w:ind w:left="0" w:right="0" w:rightChars="0" w:firstLine="640" w:firstLineChars="200"/>
        <w:jc w:val="both"/>
        <w:textAlignment w:val="auto"/>
        <w:rPr>
          <w:rFonts w:hint="default" w:ascii="Times New Roman" w:hAnsi="Times New Roman" w:eastAsia="仿宋_GB2312" w:cs="Times New Roman"/>
          <w:b w:val="0"/>
          <w:bCs w:val="0"/>
          <w:i w:val="0"/>
          <w:caps w:val="0"/>
          <w:color w:val="auto"/>
          <w:spacing w:val="0"/>
          <w:kern w:val="0"/>
          <w:sz w:val="32"/>
          <w:szCs w:val="32"/>
          <w:u w:val="none"/>
          <w:lang w:val="en-US" w:eastAsia="zh-CN" w:bidi="ar"/>
        </w:rPr>
      </w:pPr>
      <w:r>
        <w:rPr>
          <w:rFonts w:hint="default" w:ascii="Times New Roman" w:hAnsi="Times New Roman" w:eastAsia="仿宋_GB2312" w:cs="Times New Roman"/>
          <w:b w:val="0"/>
          <w:bCs w:val="0"/>
          <w:i w:val="0"/>
          <w:caps w:val="0"/>
          <w:color w:val="auto"/>
          <w:spacing w:val="0"/>
          <w:kern w:val="0"/>
          <w:sz w:val="32"/>
          <w:szCs w:val="32"/>
          <w:u w:val="none"/>
          <w:lang w:val="en-US" w:eastAsia="zh-CN" w:bidi="ar"/>
        </w:rPr>
        <w:t>通过定期在单位内部开展绩效培训，重点明确绩效管理工作的内涵，加强工作人员对绩效目标管理业务的理解。明确绩效目标表述，更加准确地衡量工作开展的绩效</w:t>
      </w:r>
      <w:r>
        <w:rPr>
          <w:rFonts w:hint="eastAsia" w:eastAsia="仿宋_GB2312" w:cs="Times New Roman"/>
          <w:b w:val="0"/>
          <w:bCs w:val="0"/>
          <w:i w:val="0"/>
          <w:caps w:val="0"/>
          <w:color w:val="auto"/>
          <w:spacing w:val="0"/>
          <w:kern w:val="0"/>
          <w:sz w:val="32"/>
          <w:szCs w:val="32"/>
          <w:u w:val="none"/>
          <w:lang w:val="en-US" w:eastAsia="zh-CN" w:bidi="ar"/>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0" w:right="0" w:rightChars="0" w:firstLine="643" w:firstLineChars="200"/>
        <w:jc w:val="both"/>
        <w:textAlignment w:val="auto"/>
        <w:outlineLvl w:val="1"/>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（二）提升项目效益，提高群众满意度</w:t>
      </w:r>
    </w:p>
    <w:p>
      <w:pPr>
        <w:keepNext w:val="0"/>
        <w:keepLines w:val="0"/>
        <w:pageBreakBefore w:val="0"/>
        <w:numPr>
          <w:ilvl w:val="0"/>
          <w:numId w:val="0"/>
        </w:numPr>
        <w:kinsoku/>
        <w:wordWrap/>
        <w:overflowPunct/>
        <w:topLinePunct w:val="0"/>
        <w:autoSpaceDE/>
        <w:autoSpaceDN/>
        <w:bidi w:val="0"/>
        <w:spacing w:line="580" w:lineRule="exact"/>
        <w:ind w:left="0" w:right="0" w:rightChars="0" w:firstLine="640" w:firstLineChars="200"/>
        <w:jc w:val="both"/>
        <w:textAlignment w:val="auto"/>
        <w:rPr>
          <w:rFonts w:hint="eastAsia" w:ascii="Times New Roman" w:hAnsi="Times New Roman" w:eastAsia="仿宋_GB2312" w:cs="Times New Roman"/>
          <w:b w:val="0"/>
          <w:bCs w:val="0"/>
          <w:i w:val="0"/>
          <w:caps w:val="0"/>
          <w:color w:val="auto"/>
          <w:spacing w:val="0"/>
          <w:kern w:val="0"/>
          <w:sz w:val="32"/>
          <w:szCs w:val="32"/>
          <w:u w:val="none"/>
          <w:lang w:val="en-US" w:eastAsia="zh-CN" w:bidi="ar"/>
        </w:rPr>
      </w:pPr>
      <w:r>
        <w:rPr>
          <w:rFonts w:hint="eastAsia" w:ascii="Times New Roman" w:hAnsi="Times New Roman" w:eastAsia="仿宋_GB2312" w:cs="Times New Roman"/>
          <w:b w:val="0"/>
          <w:bCs w:val="0"/>
          <w:i w:val="0"/>
          <w:caps w:val="0"/>
          <w:color w:val="auto"/>
          <w:spacing w:val="0"/>
          <w:kern w:val="0"/>
          <w:sz w:val="32"/>
          <w:szCs w:val="32"/>
          <w:u w:val="none"/>
          <w:lang w:val="en-US" w:eastAsia="zh-CN" w:bidi="ar"/>
        </w:rPr>
        <w:t>日后福田区工商将提升其工作质量和服务质量，同时加强满意度调查工作，及时统计相关满意度并针对满意度低的内容进行整改。</w:t>
      </w:r>
    </w:p>
    <w:p>
      <w:pPr>
        <w:keepNext w:val="0"/>
        <w:keepLines w:val="0"/>
        <w:pageBreakBefore w:val="0"/>
        <w:numPr>
          <w:ilvl w:val="0"/>
          <w:numId w:val="0"/>
        </w:numPr>
        <w:kinsoku/>
        <w:wordWrap/>
        <w:overflowPunct/>
        <w:topLinePunct w:val="0"/>
        <w:autoSpaceDE/>
        <w:autoSpaceDN/>
        <w:bidi w:val="0"/>
        <w:spacing w:line="580" w:lineRule="exact"/>
        <w:ind w:left="0" w:right="0" w:rightChars="0" w:firstLine="640" w:firstLineChars="200"/>
        <w:jc w:val="both"/>
        <w:textAlignment w:val="auto"/>
        <w:rPr>
          <w:rFonts w:hint="eastAsia" w:eastAsia="仿宋_GB2312" w:cs="Times New Roman"/>
          <w:b w:val="0"/>
          <w:bCs w:val="0"/>
          <w:i w:val="0"/>
          <w:caps w:val="0"/>
          <w:color w:val="auto"/>
          <w:spacing w:val="0"/>
          <w:kern w:val="0"/>
          <w:sz w:val="32"/>
          <w:szCs w:val="32"/>
          <w:u w:val="none"/>
          <w:lang w:val="en-US" w:eastAsia="zh-CN" w:bidi="ar"/>
        </w:rPr>
      </w:pPr>
    </w:p>
    <w:p>
      <w:pPr>
        <w:rPr>
          <w:rFonts w:hint="eastAsia"/>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widowControl w:val="0"/>
        <w:spacing w:after="120" w:line="560" w:lineRule="exact"/>
        <w:ind w:firstLine="321" w:firstLineChars="100"/>
        <w:jc w:val="both"/>
        <w:outlineLvl w:val="0"/>
        <w:rPr>
          <w:rFonts w:ascii="宋体" w:hAnsi="宋体" w:eastAsia="仿宋_GB2312" w:cs="仿宋_GB2312"/>
          <w:kern w:val="2"/>
          <w:sz w:val="32"/>
          <w:szCs w:val="32"/>
          <w:lang w:val="en-US" w:eastAsia="zh-CN" w:bidi="ar-SA"/>
        </w:rPr>
      </w:pPr>
      <w:bookmarkStart w:id="0" w:name="_Toc23604"/>
      <w:r>
        <w:rPr>
          <w:rFonts w:hint="eastAsia" w:ascii="仿宋_GB2312" w:hAnsi="仿宋_GB2312" w:eastAsia="仿宋_GB2312" w:cs="仿宋_GB2312"/>
          <w:b/>
          <w:bCs/>
          <w:kern w:val="2"/>
          <w:sz w:val="32"/>
          <w:szCs w:val="32"/>
          <w:lang w:val="en-US" w:eastAsia="zh-CN" w:bidi="ar-SA"/>
        </w:rPr>
        <w:t>附件1：评价指标体系</w:t>
      </w:r>
      <w:bookmarkEnd w:id="0"/>
    </w:p>
    <w:tbl>
      <w:tblPr>
        <w:tblStyle w:val="9"/>
        <w:tblW w:w="5267" w:type="pct"/>
        <w:jc w:val="center"/>
        <w:tblLayout w:type="fixed"/>
        <w:tblCellMar>
          <w:top w:w="0" w:type="dxa"/>
          <w:left w:w="108" w:type="dxa"/>
          <w:bottom w:w="0" w:type="dxa"/>
          <w:right w:w="108" w:type="dxa"/>
        </w:tblCellMar>
      </w:tblPr>
      <w:tblGrid>
        <w:gridCol w:w="1117"/>
        <w:gridCol w:w="1356"/>
        <w:gridCol w:w="1704"/>
        <w:gridCol w:w="722"/>
        <w:gridCol w:w="2951"/>
        <w:gridCol w:w="911"/>
        <w:gridCol w:w="5223"/>
        <w:gridCol w:w="948"/>
      </w:tblGrid>
      <w:tr>
        <w:tblPrEx>
          <w:tblCellMar>
            <w:top w:w="0" w:type="dxa"/>
            <w:left w:w="108" w:type="dxa"/>
            <w:bottom w:w="0" w:type="dxa"/>
            <w:right w:w="108" w:type="dxa"/>
          </w:tblCellMar>
        </w:tblPrEx>
        <w:trPr>
          <w:trHeight w:val="454" w:hRule="atLeast"/>
          <w:tblHeader/>
          <w:jc w:val="center"/>
        </w:trPr>
        <w:tc>
          <w:tcPr>
            <w:tcW w:w="1640" w:type="pct"/>
            <w:gridSpan w:val="4"/>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评价指标</w:t>
            </w:r>
          </w:p>
        </w:tc>
        <w:tc>
          <w:tcPr>
            <w:tcW w:w="988" w:type="pct"/>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指标说明</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标杆值</w:t>
            </w:r>
          </w:p>
        </w:tc>
        <w:tc>
          <w:tcPr>
            <w:tcW w:w="1748" w:type="pct"/>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评分标准</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得分</w:t>
            </w:r>
          </w:p>
        </w:tc>
      </w:tr>
      <w:tr>
        <w:tblPrEx>
          <w:tblCellMar>
            <w:top w:w="0" w:type="dxa"/>
            <w:left w:w="108" w:type="dxa"/>
            <w:bottom w:w="0" w:type="dxa"/>
            <w:right w:w="108" w:type="dxa"/>
          </w:tblCellMar>
        </w:tblPrEx>
        <w:trPr>
          <w:trHeight w:val="603" w:hRule="atLeast"/>
          <w:tblHeader/>
          <w:jc w:val="center"/>
        </w:trPr>
        <w:tc>
          <w:tcPr>
            <w:tcW w:w="374" w:type="pct"/>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textAlignment w:val="center"/>
              <w:rPr>
                <w:rFonts w:hint="eastAsia" w:ascii="仿宋_GB2312" w:hAnsi="宋体" w:eastAsia="仿宋_GB2312" w:cs="仿宋_GB2312"/>
                <w:b/>
                <w:bCs/>
                <w:color w:val="000000"/>
                <w:kern w:val="0"/>
                <w:sz w:val="24"/>
                <w:szCs w:val="24"/>
                <w:lang w:eastAsia="zh-CN" w:bidi="ar"/>
              </w:rPr>
            </w:pPr>
            <w:r>
              <w:rPr>
                <w:rFonts w:ascii="仿宋_GB2312" w:hAnsi="宋体" w:eastAsia="仿宋_GB2312" w:cs="仿宋_GB2312"/>
                <w:b/>
                <w:bCs/>
                <w:color w:val="000000"/>
                <w:kern w:val="0"/>
                <w:sz w:val="24"/>
                <w:szCs w:val="24"/>
                <w:lang w:bidi="ar"/>
              </w:rPr>
              <w:t>一级</w:t>
            </w:r>
          </w:p>
          <w:p>
            <w:pPr>
              <w:widowControl/>
              <w:ind w:firstLine="0" w:firstLineChars="0"/>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指标</w:t>
            </w:r>
          </w:p>
        </w:tc>
        <w:tc>
          <w:tcPr>
            <w:tcW w:w="454" w:type="pct"/>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textAlignment w:val="center"/>
              <w:rPr>
                <w:rFonts w:hint="eastAsia" w:ascii="仿宋_GB2312" w:hAnsi="宋体" w:eastAsia="仿宋_GB2312" w:cs="仿宋_GB2312"/>
                <w:b/>
                <w:bCs/>
                <w:color w:val="000000"/>
                <w:kern w:val="0"/>
                <w:sz w:val="24"/>
                <w:szCs w:val="24"/>
                <w:lang w:eastAsia="zh-CN" w:bidi="ar"/>
              </w:rPr>
            </w:pPr>
            <w:r>
              <w:rPr>
                <w:rFonts w:ascii="仿宋_GB2312" w:hAnsi="宋体" w:eastAsia="仿宋_GB2312" w:cs="仿宋_GB2312"/>
                <w:b/>
                <w:bCs/>
                <w:color w:val="000000"/>
                <w:kern w:val="0"/>
                <w:sz w:val="24"/>
                <w:szCs w:val="24"/>
                <w:lang w:bidi="ar"/>
              </w:rPr>
              <w:t>二级</w:t>
            </w:r>
          </w:p>
          <w:p>
            <w:pPr>
              <w:widowControl/>
              <w:ind w:firstLine="0" w:firstLineChars="0"/>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指标</w:t>
            </w:r>
          </w:p>
        </w:tc>
        <w:tc>
          <w:tcPr>
            <w:tcW w:w="570" w:type="pct"/>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textAlignment w:val="center"/>
              <w:rPr>
                <w:rFonts w:hint="eastAsia" w:ascii="仿宋_GB2312" w:hAnsi="宋体" w:eastAsia="仿宋_GB2312" w:cs="仿宋_GB2312"/>
                <w:b/>
                <w:bCs/>
                <w:color w:val="000000"/>
                <w:kern w:val="0"/>
                <w:sz w:val="24"/>
                <w:szCs w:val="24"/>
                <w:lang w:eastAsia="zh-CN" w:bidi="ar"/>
              </w:rPr>
            </w:pPr>
            <w:r>
              <w:rPr>
                <w:rFonts w:ascii="仿宋_GB2312" w:hAnsi="宋体" w:eastAsia="仿宋_GB2312" w:cs="仿宋_GB2312"/>
                <w:b/>
                <w:bCs/>
                <w:color w:val="000000"/>
                <w:kern w:val="0"/>
                <w:sz w:val="24"/>
                <w:szCs w:val="24"/>
                <w:lang w:bidi="ar"/>
              </w:rPr>
              <w:t>三级</w:t>
            </w:r>
          </w:p>
          <w:p>
            <w:pPr>
              <w:widowControl/>
              <w:ind w:firstLine="0" w:firstLineChars="0"/>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指标</w:t>
            </w:r>
          </w:p>
        </w:tc>
        <w:tc>
          <w:tcPr>
            <w:tcW w:w="241" w:type="pct"/>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权重</w:t>
            </w:r>
          </w:p>
        </w:tc>
        <w:tc>
          <w:tcPr>
            <w:tcW w:w="988" w:type="pct"/>
            <w:vMerge w:val="continue"/>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rPr>
                <w:rFonts w:ascii="仿宋_GB2312" w:hAnsi="宋体" w:eastAsia="仿宋_GB2312" w:cs="仿宋_GB2312"/>
                <w:b/>
                <w:bCs/>
                <w:color w:val="000000"/>
                <w:sz w:val="24"/>
                <w:szCs w:val="24"/>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rPr>
                <w:rFonts w:ascii="仿宋_GB2312" w:hAnsi="宋体" w:eastAsia="仿宋_GB2312" w:cs="仿宋_GB2312"/>
                <w:b/>
                <w:bCs/>
                <w:color w:val="000000"/>
                <w:sz w:val="24"/>
                <w:szCs w:val="24"/>
              </w:rPr>
            </w:pPr>
          </w:p>
        </w:tc>
        <w:tc>
          <w:tcPr>
            <w:tcW w:w="1748" w:type="pct"/>
            <w:vMerge w:val="continue"/>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rPr>
                <w:rFonts w:ascii="仿宋_GB2312" w:hAnsi="宋体" w:eastAsia="仿宋_GB2312" w:cs="仿宋_GB2312"/>
                <w:b/>
                <w:bCs/>
                <w:color w:val="000000"/>
                <w:sz w:val="24"/>
                <w:szCs w:val="24"/>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ind w:firstLine="0" w:firstLineChars="0"/>
              <w:jc w:val="center"/>
              <w:rPr>
                <w:rFonts w:ascii="仿宋_GB2312" w:hAnsi="宋体" w:eastAsia="仿宋_GB2312" w:cs="仿宋_GB2312"/>
                <w:b/>
                <w:bCs/>
                <w:color w:val="000000"/>
                <w:sz w:val="24"/>
                <w:szCs w:val="24"/>
              </w:rPr>
            </w:pPr>
          </w:p>
        </w:tc>
      </w:tr>
      <w:tr>
        <w:tblPrEx>
          <w:tblCellMar>
            <w:top w:w="0" w:type="dxa"/>
            <w:left w:w="108" w:type="dxa"/>
            <w:bottom w:w="0" w:type="dxa"/>
            <w:right w:w="108" w:type="dxa"/>
          </w:tblCellMar>
        </w:tblPrEx>
        <w:trPr>
          <w:trHeight w:val="454"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项目决策（15分）</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kern w:val="0"/>
                <w:sz w:val="24"/>
                <w:szCs w:val="24"/>
                <w:lang w:bidi="ar"/>
              </w:rPr>
            </w:pPr>
            <w:r>
              <w:rPr>
                <w:rFonts w:ascii="仿宋_GB2312" w:hAnsi="宋体" w:eastAsia="仿宋_GB2312" w:cs="仿宋_GB2312"/>
                <w:color w:val="000000"/>
                <w:kern w:val="0"/>
                <w:sz w:val="24"/>
                <w:szCs w:val="24"/>
                <w:lang w:bidi="ar"/>
              </w:rPr>
              <w:t>项目立项</w:t>
            </w:r>
          </w:p>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立项依据充分性</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考察项目立项的依据文件是否充分，是否与国家和地区的战略目标、发展计划以及部门的基本职能和工作计划相适应。</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充分</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①有项目立项政策依据（国家、省部级或市级政策依据）；</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②</w:t>
            </w:r>
            <w:r>
              <w:rPr>
                <w:rFonts w:hint="eastAsia" w:ascii="仿宋_GB2312" w:hAnsi="宋体" w:eastAsia="仿宋_GB2312" w:cs="仿宋_GB2312"/>
                <w:color w:val="000000"/>
                <w:kern w:val="0"/>
                <w:sz w:val="24"/>
                <w:szCs w:val="24"/>
                <w:lang w:eastAsia="zh-CN" w:bidi="ar"/>
              </w:rPr>
              <w:t>区工商联其他工作项目</w:t>
            </w:r>
            <w:r>
              <w:rPr>
                <w:rFonts w:ascii="仿宋_GB2312" w:hAnsi="宋体" w:eastAsia="仿宋_GB2312" w:cs="仿宋_GB2312"/>
                <w:color w:val="000000"/>
                <w:kern w:val="0"/>
                <w:sz w:val="24"/>
                <w:szCs w:val="24"/>
                <w:lang w:bidi="ar"/>
              </w:rPr>
              <w:t>符合广东省、深圳市发展规划；</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③</w:t>
            </w:r>
            <w:r>
              <w:rPr>
                <w:rFonts w:hint="eastAsia" w:ascii="仿宋_GB2312" w:hAnsi="宋体" w:eastAsia="仿宋_GB2312" w:cs="仿宋_GB2312"/>
                <w:color w:val="000000"/>
                <w:kern w:val="0"/>
                <w:sz w:val="24"/>
                <w:szCs w:val="24"/>
                <w:lang w:eastAsia="zh-CN" w:bidi="ar"/>
              </w:rPr>
              <w:t>其他工作项目</w:t>
            </w:r>
            <w:r>
              <w:rPr>
                <w:rFonts w:ascii="仿宋_GB2312" w:hAnsi="宋体" w:eastAsia="仿宋_GB2312" w:cs="仿宋_GB2312"/>
                <w:color w:val="000000"/>
                <w:kern w:val="0"/>
                <w:sz w:val="24"/>
                <w:szCs w:val="24"/>
                <w:lang w:bidi="ar"/>
              </w:rPr>
              <w:t>与项目单位职责密切相关。</w:t>
            </w:r>
          </w:p>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以上三项各占1/3权重分，符合得该项权重分，不符合不得分。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立项程序规范性</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考察项目立项是否符合规定程序，审批的文件和材料是否完整，项目立项前是否经过必要的可行性研究、集体决策等。</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规范</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①项目是否按照规定的程序申请设立；</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②所提交的文件、材料是否符合相关要求；</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③立项前期是否经过必要的需求调研、可行性研究或编制项目建议书。</w:t>
            </w:r>
          </w:p>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若①②③齐全得权重100%；如不符合①得0分；缺②扣权重30%，缺③扣权重30%。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绩效目标</w:t>
            </w:r>
          </w:p>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w:t>
            </w:r>
            <w:r>
              <w:rPr>
                <w:rFonts w:hint="eastAsia" w:ascii="仿宋_GB2312" w:hAnsi="宋体" w:eastAsia="仿宋_GB2312" w:cs="仿宋_GB2312"/>
                <w:color w:val="000000"/>
                <w:kern w:val="0"/>
                <w:sz w:val="24"/>
                <w:szCs w:val="24"/>
                <w:lang w:val="en-US" w:eastAsia="zh-CN" w:bidi="ar"/>
              </w:rPr>
              <w:t>5</w:t>
            </w:r>
            <w:r>
              <w:rPr>
                <w:rFonts w:ascii="仿宋_GB2312" w:hAnsi="宋体" w:eastAsia="仿宋_GB2312" w:cs="仿宋_GB2312"/>
                <w:color w:val="000000"/>
                <w:kern w:val="0"/>
                <w:sz w:val="24"/>
                <w:szCs w:val="24"/>
                <w:lang w:bidi="ar"/>
              </w:rPr>
              <w:t>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绩效目标合理性</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项目所设定的绩效目标是否依据充分，是否符合客观实际，是否规范合理，用以反映和考核项目绩效目标与项目实施的相符情况。</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合理</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①2020年</w:t>
            </w:r>
            <w:r>
              <w:rPr>
                <w:rFonts w:hint="eastAsia" w:ascii="仿宋_GB2312" w:hAnsi="宋体" w:eastAsia="仿宋_GB2312" w:cs="仿宋_GB2312"/>
                <w:color w:val="000000"/>
                <w:kern w:val="0"/>
                <w:sz w:val="24"/>
                <w:szCs w:val="24"/>
                <w:lang w:eastAsia="zh-CN" w:bidi="ar"/>
              </w:rPr>
              <w:t>其他工作项目</w:t>
            </w:r>
            <w:r>
              <w:rPr>
                <w:rFonts w:ascii="仿宋_GB2312" w:hAnsi="宋体" w:eastAsia="仿宋_GB2312" w:cs="仿宋_GB2312"/>
                <w:color w:val="000000"/>
                <w:kern w:val="0"/>
                <w:sz w:val="24"/>
                <w:szCs w:val="24"/>
                <w:lang w:bidi="ar"/>
              </w:rPr>
              <w:t>按规定设立了绩效目标；</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②项目绩效目标与实际工作内容具有相关性；</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③项目预期产出效益和效果符合正常的业绩水平；</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④项目与预算确定的项目投资额或资金量相匹配；</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⑤项目绩效目标的设置符合预算绩效管理制度，目标规范合理。</w:t>
            </w:r>
          </w:p>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五项均符合得权重分100%，每项占权重的1/5，符合得到相应权重分，否则不得分。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1</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绩效目标明确性</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3</w:t>
            </w:r>
            <w:r>
              <w:rPr>
                <w:rFonts w:ascii="仿宋_GB2312" w:hAnsi="宋体" w:eastAsia="仿宋_GB2312" w:cs="仿宋_GB2312"/>
                <w:color w:val="000000"/>
                <w:kern w:val="0"/>
                <w:sz w:val="24"/>
                <w:szCs w:val="24"/>
                <w:lang w:bidi="ar"/>
              </w:rPr>
              <w:t>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依据绩效目标设定的绩效指标是否清晰、细化、可衡量等，用以反映和考核项目绩效目标的明细化情况</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明确</w:t>
            </w:r>
          </w:p>
        </w:tc>
        <w:tc>
          <w:tcPr>
            <w:tcW w:w="174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①设定了明确的绩效目标得1分，绩效目标不明确或不清晰，该小项不得分；</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②绩效目标合理、全面的反映了项目的所有实施内容得1分，每发现一项未设定绩效目标（至少包括道路清扫</w:t>
            </w:r>
            <w:r>
              <w:rPr>
                <w:rFonts w:hint="eastAsia" w:ascii="仿宋_GB2312" w:hAnsi="宋体" w:eastAsia="仿宋_GB2312" w:cs="仿宋_GB2312"/>
                <w:color w:val="000000"/>
                <w:kern w:val="0"/>
                <w:sz w:val="24"/>
                <w:szCs w:val="24"/>
                <w:lang w:val="en-US" w:eastAsia="zh-CN" w:bidi="ar"/>
              </w:rPr>
              <w:t>和</w:t>
            </w:r>
            <w:r>
              <w:rPr>
                <w:rFonts w:ascii="仿宋_GB2312" w:hAnsi="宋体" w:eastAsia="仿宋_GB2312" w:cs="仿宋_GB2312"/>
                <w:color w:val="000000"/>
                <w:kern w:val="0"/>
                <w:sz w:val="24"/>
                <w:szCs w:val="24"/>
                <w:lang w:bidi="ar"/>
              </w:rPr>
              <w:t>园林绿化项目），扣0.1分，该小项分值扣完为止；</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③绩效目标符合实际情况，各项指标准确、可测量得1分，每发现一项绩效目标设置脱离实际、未细化量化或设置不规范（含未设指标）扣0.1分，该小项分值扣完为止。</w:t>
            </w:r>
          </w:p>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若未设定绩效目标该项指标不得分。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2</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资金投入</w:t>
            </w:r>
          </w:p>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w:t>
            </w:r>
            <w:r>
              <w:rPr>
                <w:rFonts w:hint="eastAsia" w:ascii="仿宋_GB2312" w:hAnsi="宋体" w:eastAsia="仿宋_GB2312" w:cs="仿宋_GB2312"/>
                <w:color w:val="000000"/>
                <w:kern w:val="0"/>
                <w:sz w:val="24"/>
                <w:szCs w:val="24"/>
                <w:lang w:val="en-US" w:eastAsia="zh-CN" w:bidi="ar"/>
              </w:rPr>
              <w:t>5</w:t>
            </w:r>
            <w:r>
              <w:rPr>
                <w:rFonts w:ascii="仿宋_GB2312" w:hAnsi="宋体" w:eastAsia="仿宋_GB2312" w:cs="仿宋_GB2312"/>
                <w:color w:val="000000"/>
                <w:kern w:val="0"/>
                <w:sz w:val="24"/>
                <w:szCs w:val="24"/>
                <w:lang w:bidi="ar"/>
              </w:rPr>
              <w:t>分）</w:t>
            </w:r>
          </w:p>
        </w:tc>
        <w:tc>
          <w:tcPr>
            <w:tcW w:w="57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预算编制科学性</w:t>
            </w:r>
          </w:p>
        </w:tc>
        <w:tc>
          <w:tcPr>
            <w:tcW w:w="24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98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项目预算编制是否经过科学论证、有明确标准，资金额度与年度目标是否相适应，用以反映和考核项目预算编制的科学性、合理性情况。</w:t>
            </w:r>
          </w:p>
        </w:tc>
        <w:tc>
          <w:tcPr>
            <w:tcW w:w="305" w:type="pct"/>
            <w:tcBorders>
              <w:top w:val="single" w:color="000000" w:sz="4" w:space="0"/>
              <w:left w:val="single" w:color="000000" w:sz="4" w:space="0"/>
              <w:bottom w:val="single" w:color="auto" w:sz="4" w:space="0"/>
              <w:right w:val="single" w:color="auto"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合理</w:t>
            </w:r>
          </w:p>
        </w:tc>
        <w:tc>
          <w:tcPr>
            <w:tcW w:w="1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①预算编制是否经过科学论证；</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②预算内容与项目内容是否匹配；</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③预算额度测算依据是否充分，是否按照标准编制；</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④预算确定的项目投资额或资金量是否与工作任务相匹配。</w:t>
            </w:r>
          </w:p>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四项都匹配得权重100%，每项占权重的1/4，符合得到相应权重分，否则不得分。</w:t>
            </w:r>
          </w:p>
        </w:tc>
        <w:tc>
          <w:tcPr>
            <w:tcW w:w="317" w:type="pct"/>
            <w:tcBorders>
              <w:top w:val="single" w:color="000000" w:sz="4" w:space="0"/>
              <w:left w:val="single" w:color="auto" w:sz="4" w:space="0"/>
              <w:bottom w:val="single" w:color="auto"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570"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资金分配合理性</w:t>
            </w:r>
          </w:p>
        </w:tc>
        <w:tc>
          <w:tcPr>
            <w:tcW w:w="241"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w:t>
            </w:r>
          </w:p>
        </w:tc>
        <w:tc>
          <w:tcPr>
            <w:tcW w:w="98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该指标主要考察</w:t>
            </w:r>
            <w:r>
              <w:rPr>
                <w:rFonts w:hint="eastAsia" w:ascii="仿宋_GB2312" w:hAnsi="宋体" w:eastAsia="仿宋_GB2312" w:cs="仿宋_GB2312"/>
                <w:color w:val="000000"/>
                <w:kern w:val="0"/>
                <w:sz w:val="24"/>
                <w:szCs w:val="24"/>
                <w:lang w:eastAsia="zh-CN" w:bidi="ar"/>
              </w:rPr>
              <w:t>区工商联</w:t>
            </w:r>
            <w:r>
              <w:rPr>
                <w:rFonts w:ascii="仿宋_GB2312" w:hAnsi="宋体" w:eastAsia="仿宋_GB2312" w:cs="仿宋_GB2312"/>
                <w:color w:val="000000"/>
                <w:kern w:val="0"/>
                <w:sz w:val="24"/>
                <w:szCs w:val="24"/>
                <w:lang w:bidi="ar"/>
              </w:rPr>
              <w:t>对项目预算资金分配是否有测算依据，反映和考核项目预算资金分配的科学性、合理性情况。</w:t>
            </w:r>
          </w:p>
        </w:tc>
        <w:tc>
          <w:tcPr>
            <w:tcW w:w="3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合理</w:t>
            </w:r>
          </w:p>
        </w:tc>
        <w:tc>
          <w:tcPr>
            <w:tcW w:w="174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①预算资金分配依据是否充分，占权重的50%，依据充分则得满分，每发现一类预算资金没有充分分配依据，扣对应权重的10%，扣完为止；</w:t>
            </w:r>
          </w:p>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②资金分配额度是否合理，是否与年度产出目标相匹配，占权重的50%，额度合理、目标匹配则得满分，每发现一类预算资金分配额度不合理或目标不匹配情况，扣对应权重的10%，扣完为止。</w:t>
            </w:r>
          </w:p>
        </w:tc>
        <w:tc>
          <w:tcPr>
            <w:tcW w:w="317"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2</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项目管理</w:t>
            </w:r>
          </w:p>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（25分）</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资金管理（13分）</w:t>
            </w:r>
          </w:p>
        </w:tc>
        <w:tc>
          <w:tcPr>
            <w:tcW w:w="57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预算执行率</w:t>
            </w:r>
          </w:p>
        </w:tc>
        <w:tc>
          <w:tcPr>
            <w:tcW w:w="24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98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Style w:val="11"/>
                <w:rFonts w:hAnsi="宋体"/>
                <w:lang w:bidi="ar"/>
              </w:rPr>
              <w:t>考察项目预算资金是否按照计划执行，用以反映或考核项目预算执行情况。预算执行率=（决算资金/调整后预算资金）</w:t>
            </w:r>
            <w:r>
              <w:rPr>
                <w:rFonts w:hint="eastAsia" w:ascii="宋体" w:hAnsi="宋体" w:eastAsia="宋体" w:cs="宋体"/>
                <w:color w:val="000000"/>
                <w:kern w:val="0"/>
                <w:sz w:val="24"/>
                <w:szCs w:val="24"/>
                <w:lang w:bidi="ar"/>
              </w:rPr>
              <w:t>×</w:t>
            </w:r>
            <w:r>
              <w:rPr>
                <w:rStyle w:val="11"/>
                <w:rFonts w:hAnsi="宋体"/>
                <w:lang w:bidi="ar"/>
              </w:rPr>
              <w:t>100%。</w:t>
            </w:r>
          </w:p>
        </w:tc>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100%</w:t>
            </w:r>
          </w:p>
        </w:tc>
        <w:tc>
          <w:tcPr>
            <w:tcW w:w="174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与预期设定的支付进度完全匹配得3分，偏离预期设定的支付进度，执行率每降低1%扣0.1分，扣完为止。</w:t>
            </w:r>
          </w:p>
        </w:tc>
        <w:tc>
          <w:tcPr>
            <w:tcW w:w="31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default" w:ascii="仿宋_GB2312" w:hAnsi="宋体" w:eastAsia="仿宋_GB2312" w:cs="仿宋_GB2312"/>
                <w:color w:val="000000"/>
                <w:sz w:val="24"/>
                <w:szCs w:val="24"/>
                <w:lang w:val="en-US" w:eastAsia="zh-CN"/>
              </w:rPr>
            </w:pPr>
            <w:r>
              <w:rPr>
                <w:rFonts w:ascii="仿宋_GB2312" w:hAnsi="宋体" w:eastAsia="仿宋_GB2312" w:cs="仿宋_GB2312"/>
                <w:color w:val="000000"/>
                <w:kern w:val="0"/>
                <w:sz w:val="24"/>
                <w:szCs w:val="24"/>
                <w:lang w:bidi="ar"/>
              </w:rPr>
              <w:t>2.</w:t>
            </w:r>
            <w:r>
              <w:rPr>
                <w:rFonts w:hint="eastAsia" w:ascii="仿宋_GB2312" w:hAnsi="宋体" w:eastAsia="仿宋_GB2312" w:cs="仿宋_GB2312"/>
                <w:color w:val="000000"/>
                <w:kern w:val="0"/>
                <w:sz w:val="24"/>
                <w:szCs w:val="24"/>
                <w:lang w:val="en-US" w:eastAsia="zh-CN" w:bidi="ar"/>
              </w:rPr>
              <w:t>99</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57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财务管理制度健全性</w:t>
            </w:r>
          </w:p>
        </w:tc>
        <w:tc>
          <w:tcPr>
            <w:tcW w:w="24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5分</w:t>
            </w:r>
          </w:p>
        </w:tc>
        <w:tc>
          <w:tcPr>
            <w:tcW w:w="98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w:t>
            </w:r>
            <w:r>
              <w:rPr>
                <w:rFonts w:hint="eastAsia" w:ascii="仿宋_GB2312" w:hAnsi="宋体" w:eastAsia="仿宋_GB2312" w:cs="仿宋_GB2312"/>
                <w:color w:val="000000"/>
                <w:kern w:val="0"/>
                <w:sz w:val="24"/>
                <w:szCs w:val="24"/>
                <w:lang w:eastAsia="zh-CN" w:bidi="ar"/>
              </w:rPr>
              <w:t>区工商联</w:t>
            </w:r>
            <w:r>
              <w:rPr>
                <w:rFonts w:ascii="仿宋_GB2312" w:hAnsi="宋体" w:eastAsia="仿宋_GB2312" w:cs="仿宋_GB2312"/>
                <w:color w:val="000000"/>
                <w:kern w:val="0"/>
                <w:sz w:val="24"/>
                <w:szCs w:val="24"/>
                <w:lang w:bidi="ar"/>
              </w:rPr>
              <w:t>项目资金的相关财务管理制度是否健全，财务资金审批、拨付、使用流程是否规范，是否符合有关财务会计管理制度的规定。</w:t>
            </w:r>
          </w:p>
        </w:tc>
        <w:tc>
          <w:tcPr>
            <w:tcW w:w="30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健全</w:t>
            </w:r>
          </w:p>
        </w:tc>
        <w:tc>
          <w:tcPr>
            <w:tcW w:w="174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①资金、财务管理制度是否健全；</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②财务资金审批、拨付、使用流程是否规范；</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③是否建立财务跟踪审计制度；</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④是否建立项目资金管理办法。</w:t>
            </w:r>
          </w:p>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若①②③④齐全得权重分的100%，缺①扣权重分的30%，缺②扣权重分的30%，缺③扣权重分的20%；缺④扣权重分的20%。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570"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ind w:firstLine="0" w:firstLineChars="0"/>
              <w:jc w:val="left"/>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资金使用</w:t>
            </w:r>
          </w:p>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合规性</w:t>
            </w:r>
          </w:p>
        </w:tc>
        <w:tc>
          <w:tcPr>
            <w:tcW w:w="241"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5分</w:t>
            </w:r>
          </w:p>
        </w:tc>
        <w:tc>
          <w:tcPr>
            <w:tcW w:w="98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考察项目资金使用是否符合相关的财务管理制度规定，用以反映和考核项目资金的规范运行情况。</w:t>
            </w:r>
          </w:p>
        </w:tc>
        <w:tc>
          <w:tcPr>
            <w:tcW w:w="3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合规</w:t>
            </w:r>
          </w:p>
        </w:tc>
        <w:tc>
          <w:tcPr>
            <w:tcW w:w="1748"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①是否符合国家财经法规和财务管理制度以及有关预算资金管理办法等规定；</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②资金的拨付是否有完整的审批程序，以及支付凭证是否合规；</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③资金支付是否符合规定的进度；</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④是否符合项目预算批复或合同规定的用途；</w:t>
            </w:r>
          </w:p>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⑤是否存在截留、挤占、挪用、虚列支出等情况。</w:t>
            </w:r>
          </w:p>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若①②③④⑤全部符合视为使用合规，得满分；在①④⑤同时满足时，②③中每发现一项违规情况扣当年度20%权重分，扣完为止；存在①或④或⑤不满足时属于严重违规事项，本项指标不得分。</w:t>
            </w:r>
          </w:p>
        </w:tc>
        <w:tc>
          <w:tcPr>
            <w:tcW w:w="31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组织实施（12分）</w:t>
            </w:r>
          </w:p>
        </w:tc>
        <w:tc>
          <w:tcPr>
            <w:tcW w:w="57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管理制度健全性</w:t>
            </w:r>
          </w:p>
        </w:tc>
        <w:tc>
          <w:tcPr>
            <w:tcW w:w="24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6分</w:t>
            </w:r>
          </w:p>
        </w:tc>
        <w:tc>
          <w:tcPr>
            <w:tcW w:w="98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w:t>
            </w:r>
            <w:r>
              <w:rPr>
                <w:rFonts w:hint="eastAsia" w:ascii="仿宋_GB2312" w:hAnsi="宋体" w:eastAsia="仿宋_GB2312" w:cs="仿宋_GB2312"/>
                <w:color w:val="000000"/>
                <w:kern w:val="0"/>
                <w:sz w:val="24"/>
                <w:szCs w:val="24"/>
                <w:lang w:eastAsia="zh-CN" w:bidi="ar"/>
              </w:rPr>
              <w:t>其他工作项目</w:t>
            </w:r>
            <w:r>
              <w:rPr>
                <w:rFonts w:ascii="仿宋_GB2312" w:hAnsi="宋体" w:eastAsia="仿宋_GB2312" w:cs="仿宋_GB2312"/>
                <w:color w:val="000000"/>
                <w:kern w:val="0"/>
                <w:sz w:val="24"/>
                <w:szCs w:val="24"/>
                <w:lang w:bidi="ar"/>
              </w:rPr>
              <w:t>管理的制度建设是否健全。包括卫生清扫保洁实施管理办法、清扫保洁技术标准、合同管理、资产管理、档案管理等。</w:t>
            </w:r>
          </w:p>
        </w:tc>
        <w:tc>
          <w:tcPr>
            <w:tcW w:w="3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健全</w:t>
            </w:r>
          </w:p>
        </w:tc>
        <w:tc>
          <w:tcPr>
            <w:tcW w:w="174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①有建立相关的项目管理制度得4分，财务管理、内部控制、卫生清扫保洁实施管理办法</w:t>
            </w:r>
            <w:r>
              <w:rPr>
                <w:rFonts w:hint="eastAsia" w:ascii="仿宋_GB2312" w:hAnsi="宋体" w:eastAsia="仿宋_GB2312" w:cs="仿宋_GB2312"/>
                <w:color w:val="000000"/>
                <w:kern w:val="0"/>
                <w:sz w:val="24"/>
                <w:szCs w:val="24"/>
                <w:lang w:bidi="ar"/>
              </w:rPr>
              <w:t>、应急保障措施</w:t>
            </w:r>
            <w:r>
              <w:rPr>
                <w:rFonts w:ascii="仿宋_GB2312" w:hAnsi="宋体" w:eastAsia="仿宋_GB2312" w:cs="仿宋_GB2312"/>
                <w:color w:val="000000"/>
                <w:kern w:val="0"/>
                <w:sz w:val="24"/>
                <w:szCs w:val="24"/>
                <w:lang w:bidi="ar"/>
              </w:rPr>
              <w:t>等制度每缺失一项扣1分，该小项分值扣完为止；</w:t>
            </w:r>
          </w:p>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②建立的各项制度的要求明确，内容合理，可实施性较强得2分，每存在要求不明确、内容不合理、可实施性不强等情况，该小项不得分。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6</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管理制度执行有效性</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6分</w:t>
            </w:r>
          </w:p>
        </w:tc>
        <w:tc>
          <w:tcPr>
            <w:tcW w:w="98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w:t>
            </w:r>
            <w:r>
              <w:rPr>
                <w:rFonts w:hint="eastAsia" w:ascii="仿宋_GB2312" w:hAnsi="宋体" w:eastAsia="仿宋_GB2312" w:cs="仿宋_GB2312"/>
                <w:color w:val="000000"/>
                <w:kern w:val="0"/>
                <w:sz w:val="24"/>
                <w:szCs w:val="24"/>
                <w:lang w:eastAsia="zh-CN" w:bidi="ar"/>
              </w:rPr>
              <w:t>区工商联</w:t>
            </w:r>
            <w:r>
              <w:rPr>
                <w:rFonts w:ascii="仿宋_GB2312" w:hAnsi="宋体" w:eastAsia="仿宋_GB2312" w:cs="仿宋_GB2312"/>
                <w:color w:val="000000"/>
                <w:kern w:val="0"/>
                <w:sz w:val="24"/>
                <w:szCs w:val="24"/>
                <w:lang w:bidi="ar"/>
              </w:rPr>
              <w:t>在项目实施过程中管理制度的执行情况。包括公厕建设工程项目可行性研究或项目计划书的编写、清扫标准、招标文件及合同管理等的执行情况。</w:t>
            </w:r>
          </w:p>
        </w:tc>
        <w:tc>
          <w:tcPr>
            <w:tcW w:w="305"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有效</w:t>
            </w:r>
          </w:p>
        </w:tc>
        <w:tc>
          <w:tcPr>
            <w:tcW w:w="1748"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ind w:firstLine="0" w:firstLineChars="0"/>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①有关工作制度和业务管理制度执行到位得3分，制度执行不到位影响项目的该小项得0分；</w:t>
            </w:r>
          </w:p>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②每发现一例未按合同执行的情况扣除对应权重的10%，该小项扣完为止。</w:t>
            </w:r>
          </w:p>
        </w:tc>
        <w:tc>
          <w:tcPr>
            <w:tcW w:w="31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产出</w:t>
            </w:r>
          </w:p>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（30分）</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数量指标</w:t>
            </w:r>
            <w:r>
              <w:rPr>
                <w:rFonts w:hint="eastAsia" w:ascii="仿宋_GB2312" w:hAnsi="宋体" w:eastAsia="仿宋_GB2312" w:cs="仿宋_GB2312"/>
                <w:color w:val="000000"/>
                <w:kern w:val="0"/>
                <w:sz w:val="24"/>
                <w:szCs w:val="24"/>
                <w:lang w:bidi="ar"/>
              </w:rPr>
              <w:t>（12分）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活动开展次数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w:t>
            </w:r>
            <w:r>
              <w:rPr>
                <w:rFonts w:hint="eastAsia" w:ascii="仿宋_GB2312" w:hAnsi="宋体" w:eastAsia="仿宋_GB2312" w:cs="仿宋_GB2312"/>
                <w:i w:val="0"/>
                <w:iCs w:val="0"/>
                <w:color w:val="000000"/>
                <w:kern w:val="0"/>
                <w:sz w:val="24"/>
                <w:szCs w:val="24"/>
                <w:u w:val="none"/>
                <w:lang w:val="en-US" w:eastAsia="zh-CN" w:bidi="ar"/>
              </w:rPr>
              <w:t>活动开展次数</w:t>
            </w:r>
            <w:r>
              <w:rPr>
                <w:rFonts w:ascii="仿宋_GB2312" w:hAnsi="宋体" w:eastAsia="仿宋_GB2312" w:cs="仿宋_GB2312"/>
                <w:color w:val="000000"/>
                <w:kern w:val="0"/>
                <w:sz w:val="24"/>
                <w:szCs w:val="24"/>
                <w:lang w:bidi="ar"/>
              </w:rPr>
              <w:t>情况。</w:t>
            </w:r>
          </w:p>
        </w:tc>
        <w:tc>
          <w:tcPr>
            <w:tcW w:w="30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≥8次</w:t>
            </w:r>
          </w:p>
        </w:tc>
        <w:tc>
          <w:tcPr>
            <w:tcW w:w="174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活动开展次数≥8次</w:t>
            </w:r>
            <w:r>
              <w:rPr>
                <w:rFonts w:ascii="仿宋_GB2312" w:hAnsi="宋体" w:eastAsia="仿宋_GB2312" w:cs="仿宋_GB2312"/>
                <w:color w:val="000000"/>
                <w:kern w:val="0"/>
                <w:sz w:val="24"/>
                <w:szCs w:val="24"/>
                <w:lang w:bidi="ar"/>
              </w:rPr>
              <w:t>得</w:t>
            </w:r>
            <w:r>
              <w:rPr>
                <w:rFonts w:hint="eastAsia" w:ascii="仿宋_GB2312" w:hAnsi="宋体" w:eastAsia="仿宋_GB2312" w:cs="仿宋_GB2312"/>
                <w:color w:val="000000"/>
                <w:kern w:val="0"/>
                <w:sz w:val="24"/>
                <w:szCs w:val="24"/>
                <w:lang w:val="en-US" w:eastAsia="zh-CN" w:bidi="ar"/>
              </w:rPr>
              <w:t>6</w:t>
            </w:r>
            <w:r>
              <w:rPr>
                <w:rFonts w:ascii="仿宋_GB2312" w:hAnsi="宋体" w:eastAsia="仿宋_GB2312" w:cs="仿宋_GB2312"/>
                <w:color w:val="000000"/>
                <w:kern w:val="0"/>
                <w:sz w:val="24"/>
                <w:szCs w:val="24"/>
                <w:lang w:bidi="ar"/>
              </w:rPr>
              <w:t>分，完成</w:t>
            </w:r>
            <w:r>
              <w:rPr>
                <w:rFonts w:hint="eastAsia" w:ascii="仿宋_GB2312" w:hAnsi="宋体" w:eastAsia="仿宋_GB2312" w:cs="仿宋_GB2312"/>
                <w:color w:val="000000"/>
                <w:kern w:val="0"/>
                <w:sz w:val="24"/>
                <w:szCs w:val="24"/>
                <w:lang w:val="en-US" w:eastAsia="zh-CN" w:bidi="ar"/>
              </w:rPr>
              <w:t>情况</w:t>
            </w:r>
            <w:r>
              <w:rPr>
                <w:rFonts w:ascii="仿宋_GB2312" w:hAnsi="宋体" w:eastAsia="仿宋_GB2312" w:cs="仿宋_GB2312"/>
                <w:color w:val="000000"/>
                <w:kern w:val="0"/>
                <w:sz w:val="24"/>
                <w:szCs w:val="24"/>
                <w:lang w:bidi="ar"/>
              </w:rPr>
              <w:t>每下降1</w:t>
            </w:r>
            <w:r>
              <w:rPr>
                <w:rFonts w:hint="eastAsia" w:ascii="仿宋_GB2312" w:hAnsi="宋体" w:eastAsia="仿宋_GB2312" w:cs="仿宋_GB2312"/>
                <w:color w:val="000000"/>
                <w:kern w:val="0"/>
                <w:sz w:val="24"/>
                <w:szCs w:val="24"/>
                <w:lang w:val="en-US" w:eastAsia="zh-CN" w:bidi="ar"/>
              </w:rPr>
              <w:t>次</w:t>
            </w:r>
            <w:r>
              <w:rPr>
                <w:rFonts w:ascii="仿宋_GB2312" w:hAnsi="宋体" w:eastAsia="仿宋_GB2312" w:cs="仿宋_GB2312"/>
                <w:color w:val="000000"/>
                <w:kern w:val="0"/>
                <w:sz w:val="24"/>
                <w:szCs w:val="24"/>
                <w:lang w:bidi="ar"/>
              </w:rPr>
              <w:t>，扣</w:t>
            </w: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分，扣完为止。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6</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《福田工商联》杂志出版期数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w:t>
            </w:r>
            <w:r>
              <w:rPr>
                <w:rFonts w:ascii="仿宋_GB2312" w:hAnsi="宋体" w:eastAsia="仿宋_GB2312" w:cs="仿宋_GB2312"/>
                <w:color w:val="000000"/>
                <w:kern w:val="0"/>
                <w:sz w:val="24"/>
                <w:szCs w:val="24"/>
                <w:lang w:bidi="ar"/>
              </w:rPr>
              <w:t>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w:t>
            </w:r>
            <w:r>
              <w:rPr>
                <w:rFonts w:hint="eastAsia" w:ascii="仿宋_GB2312" w:hAnsi="宋体" w:eastAsia="仿宋_GB2312" w:cs="仿宋_GB2312"/>
                <w:i w:val="0"/>
                <w:iCs w:val="0"/>
                <w:color w:val="000000"/>
                <w:kern w:val="0"/>
                <w:sz w:val="24"/>
                <w:szCs w:val="24"/>
                <w:u w:val="none"/>
                <w:lang w:val="en-US" w:eastAsia="zh-CN" w:bidi="ar"/>
              </w:rPr>
              <w:t>《福田工商联》杂志出版期数</w:t>
            </w:r>
            <w:r>
              <w:rPr>
                <w:rFonts w:ascii="仿宋_GB2312" w:hAnsi="宋体" w:eastAsia="仿宋_GB2312" w:cs="仿宋_GB2312"/>
                <w:color w:val="000000"/>
                <w:kern w:val="0"/>
                <w:sz w:val="24"/>
                <w:szCs w:val="24"/>
                <w:lang w:bidi="ar"/>
              </w:rPr>
              <w:t>情况。</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≥6期</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《福田工商联》杂志出版期数≥6期</w:t>
            </w:r>
            <w:r>
              <w:rPr>
                <w:rFonts w:ascii="仿宋_GB2312" w:hAnsi="宋体" w:eastAsia="仿宋_GB2312" w:cs="仿宋_GB2312"/>
                <w:color w:val="000000"/>
                <w:kern w:val="0"/>
                <w:sz w:val="24"/>
                <w:szCs w:val="24"/>
                <w:lang w:bidi="ar"/>
              </w:rPr>
              <w:t>得</w:t>
            </w:r>
            <w:r>
              <w:rPr>
                <w:rFonts w:hint="eastAsia" w:ascii="仿宋_GB2312" w:hAnsi="宋体" w:eastAsia="仿宋_GB2312" w:cs="仿宋_GB2312"/>
                <w:color w:val="000000"/>
                <w:kern w:val="0"/>
                <w:sz w:val="24"/>
                <w:szCs w:val="24"/>
                <w:lang w:val="en-US" w:eastAsia="zh-CN" w:bidi="ar"/>
              </w:rPr>
              <w:t>6</w:t>
            </w:r>
            <w:r>
              <w:rPr>
                <w:rFonts w:ascii="仿宋_GB2312" w:hAnsi="宋体" w:eastAsia="仿宋_GB2312" w:cs="仿宋_GB2312"/>
                <w:color w:val="000000"/>
                <w:kern w:val="0"/>
                <w:sz w:val="24"/>
                <w:szCs w:val="24"/>
                <w:lang w:bidi="ar"/>
              </w:rPr>
              <w:t>分，完成</w:t>
            </w:r>
            <w:r>
              <w:rPr>
                <w:rFonts w:hint="eastAsia" w:ascii="仿宋_GB2312" w:hAnsi="宋体" w:eastAsia="仿宋_GB2312" w:cs="仿宋_GB2312"/>
                <w:color w:val="000000"/>
                <w:kern w:val="0"/>
                <w:sz w:val="24"/>
                <w:szCs w:val="24"/>
                <w:lang w:val="en-US" w:eastAsia="zh-CN" w:bidi="ar"/>
              </w:rPr>
              <w:t>情况</w:t>
            </w:r>
            <w:r>
              <w:rPr>
                <w:rFonts w:ascii="仿宋_GB2312" w:hAnsi="宋体" w:eastAsia="仿宋_GB2312" w:cs="仿宋_GB2312"/>
                <w:color w:val="000000"/>
                <w:kern w:val="0"/>
                <w:sz w:val="24"/>
                <w:szCs w:val="24"/>
                <w:lang w:bidi="ar"/>
              </w:rPr>
              <w:t>每下降1</w:t>
            </w:r>
            <w:r>
              <w:rPr>
                <w:rFonts w:hint="eastAsia" w:ascii="仿宋_GB2312" w:hAnsi="宋体" w:eastAsia="仿宋_GB2312" w:cs="仿宋_GB2312"/>
                <w:color w:val="000000"/>
                <w:kern w:val="0"/>
                <w:sz w:val="24"/>
                <w:szCs w:val="24"/>
                <w:lang w:val="en-US" w:eastAsia="zh-CN" w:bidi="ar"/>
              </w:rPr>
              <w:t>期</w:t>
            </w:r>
            <w:r>
              <w:rPr>
                <w:rFonts w:ascii="仿宋_GB2312" w:hAnsi="宋体" w:eastAsia="仿宋_GB2312" w:cs="仿宋_GB2312"/>
                <w:color w:val="000000"/>
                <w:kern w:val="0"/>
                <w:sz w:val="24"/>
                <w:szCs w:val="24"/>
                <w:lang w:bidi="ar"/>
              </w:rPr>
              <w:t>，扣</w:t>
            </w: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分，扣完为止。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6</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质量指标</w:t>
            </w:r>
            <w:r>
              <w:rPr>
                <w:rFonts w:hint="eastAsia" w:ascii="仿宋_GB2312" w:hAnsi="宋体" w:eastAsia="仿宋_GB2312" w:cs="仿宋_GB2312"/>
                <w:color w:val="000000"/>
                <w:kern w:val="0"/>
                <w:sz w:val="24"/>
                <w:szCs w:val="24"/>
                <w:lang w:bidi="ar"/>
              </w:rPr>
              <w:t>（12分）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活动开展人员参与率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w:t>
            </w:r>
            <w:r>
              <w:rPr>
                <w:rFonts w:ascii="仿宋_GB2312" w:hAnsi="宋体" w:eastAsia="仿宋_GB2312" w:cs="仿宋_GB2312"/>
                <w:color w:val="000000"/>
                <w:kern w:val="0"/>
                <w:sz w:val="24"/>
                <w:szCs w:val="24"/>
                <w:lang w:bidi="ar"/>
              </w:rPr>
              <w:t>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考察项目</w:t>
            </w:r>
            <w:r>
              <w:rPr>
                <w:rFonts w:hint="eastAsia" w:ascii="仿宋_GB2312" w:hAnsi="宋体" w:eastAsia="仿宋_GB2312" w:cs="仿宋_GB2312"/>
                <w:i w:val="0"/>
                <w:iCs w:val="0"/>
                <w:color w:val="000000"/>
                <w:kern w:val="0"/>
                <w:sz w:val="24"/>
                <w:szCs w:val="24"/>
                <w:u w:val="none"/>
                <w:lang w:val="en-US" w:eastAsia="zh-CN" w:bidi="ar"/>
              </w:rPr>
              <w:t>活动开展人员参与</w:t>
            </w:r>
            <w:r>
              <w:rPr>
                <w:rFonts w:ascii="仿宋_GB2312" w:hAnsi="宋体" w:eastAsia="仿宋_GB2312" w:cs="仿宋_GB2312"/>
                <w:color w:val="000000"/>
                <w:kern w:val="0"/>
                <w:sz w:val="24"/>
                <w:szCs w:val="24"/>
                <w:lang w:bidi="ar"/>
              </w:rPr>
              <w:t>达标情况。</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≥90%</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活动开展人员参与率</w:t>
            </w:r>
            <w:r>
              <w:rPr>
                <w:rFonts w:ascii="仿宋_GB2312" w:hAnsi="宋体" w:eastAsia="仿宋_GB2312" w:cs="仿宋_GB2312"/>
                <w:color w:val="000000"/>
                <w:kern w:val="0"/>
                <w:sz w:val="24"/>
                <w:szCs w:val="24"/>
                <w:lang w:bidi="ar"/>
              </w:rPr>
              <w:t>达到</w:t>
            </w:r>
            <w:r>
              <w:rPr>
                <w:rFonts w:hint="eastAsia" w:ascii="仿宋_GB2312" w:hAnsi="宋体" w:eastAsia="仿宋_GB2312" w:cs="仿宋_GB2312"/>
                <w:i w:val="0"/>
                <w:iCs w:val="0"/>
                <w:color w:val="000000"/>
                <w:kern w:val="0"/>
                <w:sz w:val="24"/>
                <w:szCs w:val="24"/>
                <w:u w:val="none"/>
                <w:lang w:val="en-US" w:eastAsia="zh-CN" w:bidi="ar"/>
              </w:rPr>
              <w:t>≥90%</w:t>
            </w:r>
            <w:r>
              <w:rPr>
                <w:rFonts w:ascii="仿宋_GB2312" w:hAnsi="宋体" w:eastAsia="仿宋_GB2312" w:cs="仿宋_GB2312"/>
                <w:color w:val="000000"/>
                <w:kern w:val="0"/>
                <w:sz w:val="24"/>
                <w:szCs w:val="24"/>
                <w:lang w:bidi="ar"/>
              </w:rPr>
              <w:t>得6分，每降低1%，扣0.1分，扣完为止。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6</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杂志出版合格率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w:t>
            </w:r>
            <w:r>
              <w:rPr>
                <w:rFonts w:ascii="仿宋_GB2312" w:hAnsi="宋体" w:eastAsia="仿宋_GB2312" w:cs="仿宋_GB2312"/>
                <w:color w:val="000000"/>
                <w:kern w:val="0"/>
                <w:sz w:val="24"/>
                <w:szCs w:val="24"/>
                <w:lang w:bidi="ar"/>
              </w:rPr>
              <w:t>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考察项目</w:t>
            </w:r>
            <w:r>
              <w:rPr>
                <w:rFonts w:hint="eastAsia" w:ascii="仿宋_GB2312" w:hAnsi="宋体" w:eastAsia="仿宋_GB2312" w:cs="仿宋_GB2312"/>
                <w:i w:val="0"/>
                <w:iCs w:val="0"/>
                <w:color w:val="000000"/>
                <w:kern w:val="0"/>
                <w:sz w:val="24"/>
                <w:szCs w:val="24"/>
                <w:u w:val="none"/>
                <w:lang w:val="en-US" w:eastAsia="zh-CN" w:bidi="ar"/>
              </w:rPr>
              <w:t>杂志出版合格情况</w:t>
            </w:r>
            <w:r>
              <w:rPr>
                <w:rFonts w:ascii="仿宋_GB2312" w:hAnsi="宋体" w:eastAsia="仿宋_GB2312" w:cs="仿宋_GB2312"/>
                <w:color w:val="000000"/>
                <w:kern w:val="0"/>
                <w:sz w:val="24"/>
                <w:szCs w:val="24"/>
                <w:lang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≥90%</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杂志出版合格率</w:t>
            </w:r>
            <w:r>
              <w:rPr>
                <w:rFonts w:ascii="仿宋_GB2312" w:hAnsi="宋体" w:eastAsia="仿宋_GB2312" w:cs="仿宋_GB2312"/>
                <w:color w:val="000000"/>
                <w:kern w:val="0"/>
                <w:sz w:val="24"/>
                <w:szCs w:val="24"/>
                <w:lang w:bidi="ar"/>
              </w:rPr>
              <w:t>达到</w:t>
            </w:r>
            <w:r>
              <w:rPr>
                <w:rFonts w:hint="eastAsia" w:ascii="仿宋_GB2312" w:hAnsi="宋体" w:eastAsia="仿宋_GB2312" w:cs="仿宋_GB2312"/>
                <w:i w:val="0"/>
                <w:iCs w:val="0"/>
                <w:color w:val="000000"/>
                <w:kern w:val="0"/>
                <w:sz w:val="24"/>
                <w:szCs w:val="24"/>
                <w:u w:val="none"/>
                <w:lang w:val="en-US" w:eastAsia="zh-CN" w:bidi="ar"/>
              </w:rPr>
              <w:t>≥90%</w:t>
            </w:r>
            <w:r>
              <w:rPr>
                <w:rFonts w:ascii="仿宋_GB2312" w:hAnsi="宋体" w:eastAsia="仿宋_GB2312" w:cs="仿宋_GB2312"/>
                <w:color w:val="000000"/>
                <w:kern w:val="0"/>
                <w:sz w:val="24"/>
                <w:szCs w:val="24"/>
                <w:lang w:bidi="ar"/>
              </w:rPr>
              <w:t>得6分，每降低1%，扣0.1分，扣完为止。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6</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16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restart"/>
            <w:tcBorders>
              <w:top w:val="single" w:color="000000" w:sz="4" w:space="0"/>
              <w:left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时效指标</w:t>
            </w:r>
            <w:r>
              <w:rPr>
                <w:rFonts w:hint="eastAsia" w:ascii="仿宋_GB2312" w:hAnsi="宋体" w:eastAsia="仿宋_GB2312" w:cs="仿宋_GB2312"/>
                <w:color w:val="000000"/>
                <w:kern w:val="0"/>
                <w:sz w:val="24"/>
                <w:szCs w:val="24"/>
                <w:lang w:bidi="ar"/>
              </w:rPr>
              <w:t>（</w:t>
            </w:r>
            <w:r>
              <w:rPr>
                <w:rFonts w:hint="eastAsia" w:ascii="仿宋_GB2312" w:hAnsi="宋体" w:eastAsia="仿宋_GB2312" w:cs="仿宋_GB2312"/>
                <w:color w:val="000000"/>
                <w:kern w:val="0"/>
                <w:sz w:val="24"/>
                <w:szCs w:val="24"/>
                <w:lang w:val="en-US" w:eastAsia="zh-CN" w:bidi="ar"/>
              </w:rPr>
              <w:t>4</w:t>
            </w:r>
            <w:r>
              <w:rPr>
                <w:rFonts w:hint="eastAsia" w:ascii="仿宋_GB2312" w:hAnsi="宋体" w:eastAsia="仿宋_GB2312" w:cs="仿宋_GB2312"/>
                <w:color w:val="000000"/>
                <w:kern w:val="0"/>
                <w:sz w:val="24"/>
                <w:szCs w:val="24"/>
                <w:lang w:bidi="ar"/>
              </w:rPr>
              <w:t>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活动开展及时性</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w:t>
            </w:r>
            <w:r>
              <w:rPr>
                <w:rFonts w:hint="eastAsia" w:ascii="仿宋_GB2312" w:hAnsi="宋体" w:eastAsia="仿宋_GB2312" w:cs="仿宋_GB2312"/>
                <w:color w:val="000000"/>
                <w:kern w:val="0"/>
                <w:sz w:val="24"/>
                <w:szCs w:val="24"/>
                <w:lang w:eastAsia="zh-CN" w:bidi="ar"/>
              </w:rPr>
              <w:t>其他工作项目</w:t>
            </w:r>
            <w:r>
              <w:rPr>
                <w:rFonts w:hint="eastAsia" w:ascii="仿宋_GB2312" w:hAnsi="宋体" w:eastAsia="仿宋_GB2312" w:cs="仿宋_GB2312"/>
                <w:i w:val="0"/>
                <w:iCs w:val="0"/>
                <w:color w:val="000000"/>
                <w:kern w:val="0"/>
                <w:sz w:val="24"/>
                <w:szCs w:val="24"/>
                <w:u w:val="none"/>
                <w:lang w:val="en-US" w:eastAsia="zh-CN" w:bidi="ar"/>
              </w:rPr>
              <w:t>活动开展</w:t>
            </w:r>
            <w:r>
              <w:rPr>
                <w:rFonts w:ascii="仿宋_GB2312" w:hAnsi="宋体" w:eastAsia="仿宋_GB2312" w:cs="仿宋_GB2312"/>
                <w:color w:val="000000"/>
                <w:kern w:val="0"/>
                <w:sz w:val="24"/>
                <w:szCs w:val="24"/>
                <w:lang w:bidi="ar"/>
              </w:rPr>
              <w:t>工作完成及时情况。</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及时</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eastAsia="zh-CN" w:bidi="ar"/>
              </w:rPr>
              <w:t>其他工作项目</w:t>
            </w:r>
            <w:r>
              <w:rPr>
                <w:rFonts w:hint="eastAsia" w:ascii="仿宋_GB2312" w:hAnsi="宋体" w:eastAsia="仿宋_GB2312" w:cs="仿宋_GB2312"/>
                <w:i w:val="0"/>
                <w:iCs w:val="0"/>
                <w:color w:val="000000"/>
                <w:kern w:val="0"/>
                <w:sz w:val="24"/>
                <w:szCs w:val="24"/>
                <w:u w:val="none"/>
                <w:lang w:val="en-US" w:eastAsia="zh-CN" w:bidi="ar"/>
              </w:rPr>
              <w:t>活动</w:t>
            </w:r>
            <w:r>
              <w:rPr>
                <w:rFonts w:ascii="仿宋_GB2312" w:hAnsi="宋体" w:eastAsia="仿宋_GB2312" w:cs="仿宋_GB2312"/>
                <w:color w:val="000000"/>
                <w:kern w:val="0"/>
                <w:sz w:val="24"/>
                <w:szCs w:val="24"/>
                <w:lang w:bidi="ar"/>
              </w:rPr>
              <w:t>开展及时得</w:t>
            </w: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分，每存在一项工作未及时完成扣1%权重分。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2</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792"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vMerge w:val="continue"/>
            <w:tcBorders>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kern w:val="0"/>
                <w:sz w:val="24"/>
                <w:szCs w:val="24"/>
                <w:lang w:bidi="ar"/>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i w:val="0"/>
                <w:iCs w:val="0"/>
                <w:color w:val="000000"/>
                <w:kern w:val="0"/>
                <w:sz w:val="24"/>
                <w:szCs w:val="24"/>
                <w:u w:val="none"/>
                <w:lang w:val="en-US" w:eastAsia="zh-CN" w:bidi="ar"/>
              </w:rPr>
              <w:t>杂志出版及时率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kern w:val="0"/>
                <w:sz w:val="24"/>
                <w:szCs w:val="24"/>
                <w:lang w:bidi="ar"/>
              </w:rPr>
            </w:pPr>
            <w:r>
              <w:rPr>
                <w:rFonts w:ascii="仿宋_GB2312" w:hAnsi="宋体" w:eastAsia="仿宋_GB2312" w:cs="仿宋_GB2312"/>
                <w:color w:val="000000"/>
                <w:kern w:val="0"/>
                <w:sz w:val="24"/>
                <w:szCs w:val="24"/>
                <w:lang w:bidi="ar"/>
              </w:rPr>
              <w:t>考察</w:t>
            </w:r>
            <w:r>
              <w:rPr>
                <w:rFonts w:hint="eastAsia" w:ascii="仿宋_GB2312" w:hAnsi="宋体" w:eastAsia="仿宋_GB2312" w:cs="仿宋_GB2312"/>
                <w:color w:val="000000"/>
                <w:kern w:val="0"/>
                <w:sz w:val="24"/>
                <w:szCs w:val="24"/>
                <w:lang w:eastAsia="zh-CN" w:bidi="ar"/>
              </w:rPr>
              <w:t>其他工作项目</w:t>
            </w:r>
            <w:r>
              <w:rPr>
                <w:rFonts w:hint="eastAsia" w:ascii="仿宋_GB2312" w:hAnsi="宋体" w:eastAsia="仿宋_GB2312" w:cs="仿宋_GB2312"/>
                <w:i w:val="0"/>
                <w:iCs w:val="0"/>
                <w:color w:val="000000"/>
                <w:kern w:val="0"/>
                <w:sz w:val="24"/>
                <w:szCs w:val="24"/>
                <w:u w:val="none"/>
                <w:lang w:val="en-US" w:eastAsia="zh-CN" w:bidi="ar"/>
              </w:rPr>
              <w:t>杂志出版</w:t>
            </w:r>
            <w:r>
              <w:rPr>
                <w:rFonts w:ascii="仿宋_GB2312" w:hAnsi="宋体" w:eastAsia="仿宋_GB2312" w:cs="仿宋_GB2312"/>
                <w:color w:val="000000"/>
                <w:kern w:val="0"/>
                <w:sz w:val="24"/>
                <w:szCs w:val="24"/>
                <w:lang w:bidi="ar"/>
              </w:rPr>
              <w:t>工作完成及时情况。</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i w:val="0"/>
                <w:iCs w:val="0"/>
                <w:color w:val="000000"/>
                <w:kern w:val="0"/>
                <w:sz w:val="24"/>
                <w:szCs w:val="24"/>
                <w:u w:val="none"/>
                <w:lang w:val="en-US" w:eastAsia="zh-CN" w:bidi="ar"/>
              </w:rPr>
              <w:t>≥90%</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ascii="仿宋_GB2312" w:hAnsi="宋体" w:eastAsia="仿宋_GB2312" w:cs="仿宋_GB2312"/>
                <w:color w:val="000000"/>
                <w:kern w:val="0"/>
                <w:sz w:val="24"/>
                <w:szCs w:val="24"/>
                <w:lang w:eastAsia="zh-CN" w:bidi="ar"/>
              </w:rPr>
            </w:pPr>
            <w:r>
              <w:rPr>
                <w:rFonts w:hint="eastAsia" w:ascii="仿宋_GB2312" w:hAnsi="宋体" w:eastAsia="仿宋_GB2312" w:cs="仿宋_GB2312"/>
                <w:color w:val="000000"/>
                <w:kern w:val="0"/>
                <w:sz w:val="24"/>
                <w:szCs w:val="24"/>
                <w:lang w:eastAsia="zh-CN" w:bidi="ar"/>
              </w:rPr>
              <w:t>其他工作项目</w:t>
            </w:r>
            <w:r>
              <w:rPr>
                <w:rFonts w:hint="eastAsia" w:ascii="仿宋_GB2312" w:hAnsi="宋体" w:eastAsia="仿宋_GB2312" w:cs="仿宋_GB2312"/>
                <w:i w:val="0"/>
                <w:iCs w:val="0"/>
                <w:color w:val="000000"/>
                <w:kern w:val="0"/>
                <w:sz w:val="24"/>
                <w:szCs w:val="24"/>
                <w:u w:val="none"/>
                <w:lang w:val="en-US" w:eastAsia="zh-CN" w:bidi="ar"/>
              </w:rPr>
              <w:t>杂志出版及时率≥90%</w:t>
            </w:r>
            <w:r>
              <w:rPr>
                <w:rFonts w:ascii="仿宋_GB2312" w:hAnsi="宋体" w:eastAsia="仿宋_GB2312" w:cs="仿宋_GB2312"/>
                <w:color w:val="000000"/>
                <w:kern w:val="0"/>
                <w:sz w:val="24"/>
                <w:szCs w:val="24"/>
                <w:lang w:bidi="ar"/>
              </w:rPr>
              <w:t>得</w:t>
            </w: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分，每降低1%，扣0.1分，扣完为止。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val="en-US" w:eastAsia="zh-CN" w:bidi="ar"/>
              </w:rPr>
              <w:t>2</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成本指标</w:t>
            </w:r>
            <w:r>
              <w:rPr>
                <w:rFonts w:hint="eastAsia" w:ascii="仿宋_GB2312" w:hAnsi="宋体" w:eastAsia="仿宋_GB2312" w:cs="仿宋_GB2312"/>
                <w:color w:val="000000"/>
                <w:kern w:val="0"/>
                <w:sz w:val="24"/>
                <w:szCs w:val="24"/>
                <w:lang w:bidi="ar"/>
              </w:rPr>
              <w:t>（</w:t>
            </w:r>
            <w:r>
              <w:rPr>
                <w:rFonts w:hint="eastAsia" w:ascii="仿宋_GB2312" w:hAnsi="宋体" w:eastAsia="仿宋_GB2312" w:cs="仿宋_GB2312"/>
                <w:color w:val="000000"/>
                <w:kern w:val="0"/>
                <w:sz w:val="24"/>
                <w:szCs w:val="24"/>
                <w:lang w:val="en-US" w:eastAsia="zh-CN" w:bidi="ar"/>
              </w:rPr>
              <w:t>2</w:t>
            </w:r>
            <w:r>
              <w:rPr>
                <w:rFonts w:hint="eastAsia" w:ascii="仿宋_GB2312" w:hAnsi="宋体" w:eastAsia="仿宋_GB2312" w:cs="仿宋_GB2312"/>
                <w:color w:val="000000"/>
                <w:kern w:val="0"/>
                <w:sz w:val="24"/>
                <w:szCs w:val="24"/>
                <w:lang w:bidi="ar"/>
              </w:rPr>
              <w:t>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成本控制率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Style w:val="11"/>
                <w:rFonts w:hAnsi="宋体"/>
                <w:lang w:bidi="ar"/>
              </w:rPr>
              <w:t>考察项目是否按照厉行节约过</w:t>
            </w:r>
            <w:r>
              <w:rPr>
                <w:rFonts w:hint="eastAsia" w:ascii="宋体" w:hAnsi="宋体" w:eastAsia="宋体" w:cs="宋体"/>
                <w:color w:val="000000"/>
                <w:kern w:val="0"/>
                <w:sz w:val="24"/>
                <w:szCs w:val="24"/>
                <w:lang w:bidi="ar"/>
              </w:rPr>
              <w:t>“</w:t>
            </w:r>
            <w:r>
              <w:rPr>
                <w:rStyle w:val="11"/>
                <w:rFonts w:hAnsi="宋体"/>
                <w:lang w:bidi="ar"/>
              </w:rPr>
              <w:t>紧日子</w:t>
            </w:r>
            <w:r>
              <w:rPr>
                <w:rFonts w:hint="eastAsia" w:ascii="宋体" w:hAnsi="宋体" w:eastAsia="宋体" w:cs="宋体"/>
                <w:color w:val="000000"/>
                <w:kern w:val="0"/>
                <w:sz w:val="24"/>
                <w:szCs w:val="24"/>
                <w:lang w:bidi="ar"/>
              </w:rPr>
              <w:t>”</w:t>
            </w:r>
            <w:r>
              <w:rPr>
                <w:rStyle w:val="11"/>
                <w:rFonts w:hAnsi="宋体"/>
                <w:lang w:bidi="ar"/>
              </w:rPr>
              <w:t>的要求，严格控制项目支出，有效节约资金。</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Style w:val="11"/>
                <w:rFonts w:hAnsi="宋体"/>
                <w:lang w:bidi="ar"/>
              </w:rPr>
              <w:t>≤100%</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严控项目支出，未发生超预算的情况得</w:t>
            </w: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分，发生超预算的情况该项不得分。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2</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效益</w:t>
            </w:r>
          </w:p>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（30分）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经济效益（</w:t>
            </w:r>
            <w:r>
              <w:rPr>
                <w:rFonts w:hint="eastAsia" w:ascii="仿宋_GB2312" w:hAnsi="宋体" w:eastAsia="仿宋_GB2312" w:cs="仿宋_GB2312"/>
                <w:color w:val="000000"/>
                <w:kern w:val="0"/>
                <w:sz w:val="24"/>
                <w:szCs w:val="24"/>
                <w:lang w:val="en-US" w:eastAsia="zh-CN" w:bidi="ar"/>
              </w:rPr>
              <w:t>6</w:t>
            </w:r>
            <w:r>
              <w:rPr>
                <w:rFonts w:hint="eastAsia" w:ascii="仿宋_GB2312" w:hAnsi="宋体" w:eastAsia="仿宋_GB2312" w:cs="仿宋_GB2312"/>
                <w:color w:val="000000"/>
                <w:kern w:val="0"/>
                <w:sz w:val="24"/>
                <w:szCs w:val="24"/>
                <w:lang w:bidi="ar"/>
              </w:rPr>
              <w:t>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助力民营企业经济发展</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w:t>
            </w:r>
            <w:r>
              <w:rPr>
                <w:rFonts w:hint="eastAsia" w:ascii="仿宋_GB2312" w:hAnsi="宋体" w:eastAsia="仿宋_GB2312" w:cs="仿宋_GB2312"/>
                <w:color w:val="000000"/>
                <w:kern w:val="0"/>
                <w:sz w:val="24"/>
                <w:szCs w:val="24"/>
                <w:lang w:val="en-US" w:eastAsia="zh-CN" w:bidi="ar"/>
              </w:rPr>
              <w:t>项目的实施是否有效</w:t>
            </w:r>
            <w:r>
              <w:rPr>
                <w:rFonts w:hint="eastAsia" w:ascii="仿宋_GB2312" w:hAnsi="宋体" w:eastAsia="仿宋_GB2312" w:cs="仿宋_GB2312"/>
                <w:i w:val="0"/>
                <w:iCs w:val="0"/>
                <w:color w:val="000000"/>
                <w:kern w:val="0"/>
                <w:sz w:val="24"/>
                <w:szCs w:val="24"/>
                <w:u w:val="none"/>
                <w:lang w:val="en-US" w:eastAsia="zh-CN" w:bidi="ar"/>
              </w:rPr>
              <w:t>助力民营企业经济发展</w:t>
            </w:r>
            <w:r>
              <w:rPr>
                <w:rFonts w:ascii="仿宋_GB2312" w:hAnsi="宋体" w:eastAsia="仿宋_GB2312" w:cs="仿宋_GB2312"/>
                <w:color w:val="000000"/>
                <w:kern w:val="0"/>
                <w:sz w:val="24"/>
                <w:szCs w:val="24"/>
                <w:lang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有效</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有效</w:t>
            </w:r>
            <w:r>
              <w:rPr>
                <w:rFonts w:hint="eastAsia" w:ascii="仿宋_GB2312" w:hAnsi="宋体" w:eastAsia="仿宋_GB2312" w:cs="仿宋_GB2312"/>
                <w:i w:val="0"/>
                <w:iCs w:val="0"/>
                <w:color w:val="000000"/>
                <w:kern w:val="0"/>
                <w:sz w:val="24"/>
                <w:szCs w:val="24"/>
                <w:u w:val="none"/>
                <w:lang w:val="en-US" w:eastAsia="zh-CN" w:bidi="ar"/>
              </w:rPr>
              <w:t>助力民营企业经济发展</w:t>
            </w:r>
            <w:r>
              <w:rPr>
                <w:rStyle w:val="11"/>
                <w:rFonts w:hAnsi="宋体"/>
                <w:lang w:bidi="ar"/>
              </w:rPr>
              <w:t>得6分，</w:t>
            </w:r>
            <w:r>
              <w:rPr>
                <w:rStyle w:val="11"/>
                <w:rFonts w:hint="eastAsia" w:hAnsi="宋体"/>
                <w:lang w:val="en-US" w:eastAsia="zh-CN" w:bidi="ar"/>
              </w:rPr>
              <w:t>效益每降低10%</w:t>
            </w:r>
            <w:r>
              <w:rPr>
                <w:rStyle w:val="11"/>
                <w:rFonts w:hAnsi="宋体"/>
                <w:lang w:bidi="ar"/>
              </w:rPr>
              <w:t>，扣</w:t>
            </w:r>
            <w:r>
              <w:rPr>
                <w:rStyle w:val="11"/>
                <w:rFonts w:hint="eastAsia" w:hAnsi="宋体"/>
                <w:lang w:val="en-US" w:eastAsia="zh-CN" w:bidi="ar"/>
              </w:rPr>
              <w:t>1</w:t>
            </w:r>
            <w:r>
              <w:rPr>
                <w:rStyle w:val="11"/>
                <w:rFonts w:hAnsi="宋体"/>
                <w:lang w:bidi="ar"/>
              </w:rPr>
              <w:t>分，扣完为止。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社会效益</w:t>
            </w:r>
            <w:r>
              <w:rPr>
                <w:rFonts w:hint="eastAsia" w:ascii="仿宋_GB2312" w:hAnsi="宋体" w:eastAsia="仿宋_GB2312" w:cs="仿宋_GB2312"/>
                <w:color w:val="000000"/>
                <w:kern w:val="0"/>
                <w:sz w:val="24"/>
                <w:szCs w:val="24"/>
                <w:lang w:bidi="ar"/>
              </w:rPr>
              <w:t>（</w:t>
            </w:r>
            <w:r>
              <w:rPr>
                <w:rFonts w:hint="eastAsia" w:ascii="仿宋_GB2312" w:hAnsi="宋体" w:eastAsia="仿宋_GB2312" w:cs="仿宋_GB2312"/>
                <w:color w:val="000000"/>
                <w:kern w:val="0"/>
                <w:sz w:val="24"/>
                <w:szCs w:val="24"/>
                <w:lang w:val="en-US" w:eastAsia="zh-CN" w:bidi="ar"/>
              </w:rPr>
              <w:t>6</w:t>
            </w:r>
            <w:r>
              <w:rPr>
                <w:rFonts w:hint="eastAsia" w:ascii="仿宋_GB2312" w:hAnsi="宋体" w:eastAsia="仿宋_GB2312" w:cs="仿宋_GB2312"/>
                <w:color w:val="000000"/>
                <w:kern w:val="0"/>
                <w:sz w:val="24"/>
                <w:szCs w:val="24"/>
                <w:lang w:bidi="ar"/>
              </w:rPr>
              <w:t>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i w:val="0"/>
                <w:iCs w:val="0"/>
                <w:color w:val="000000"/>
                <w:kern w:val="0"/>
                <w:sz w:val="24"/>
                <w:szCs w:val="24"/>
                <w:u w:val="none"/>
                <w:lang w:val="en-US" w:eastAsia="zh-CN" w:bidi="ar"/>
              </w:rPr>
              <w:t>为民营企业高质量营造优良营商环境</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kern w:val="0"/>
                <w:sz w:val="24"/>
                <w:szCs w:val="24"/>
                <w:lang w:bidi="ar"/>
              </w:rPr>
            </w:pPr>
            <w:r>
              <w:rPr>
                <w:rFonts w:ascii="仿宋_GB2312" w:hAnsi="宋体" w:eastAsia="仿宋_GB2312" w:cs="仿宋_GB2312"/>
                <w:color w:val="000000"/>
                <w:kern w:val="0"/>
                <w:sz w:val="24"/>
                <w:szCs w:val="24"/>
                <w:lang w:bidi="ar"/>
              </w:rPr>
              <w:t>6分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kern w:val="0"/>
                <w:sz w:val="24"/>
                <w:szCs w:val="24"/>
                <w:lang w:bidi="ar"/>
              </w:rPr>
            </w:pPr>
            <w:r>
              <w:rPr>
                <w:rFonts w:ascii="仿宋_GB2312" w:hAnsi="宋体" w:eastAsia="仿宋_GB2312" w:cs="仿宋_GB2312"/>
                <w:color w:val="000000"/>
                <w:kern w:val="0"/>
                <w:sz w:val="24"/>
                <w:szCs w:val="24"/>
                <w:lang w:bidi="ar"/>
              </w:rPr>
              <w:t>考察</w:t>
            </w:r>
            <w:r>
              <w:rPr>
                <w:rFonts w:hint="eastAsia" w:ascii="仿宋_GB2312" w:hAnsi="宋体" w:eastAsia="仿宋_GB2312" w:cs="仿宋_GB2312"/>
                <w:color w:val="000000"/>
                <w:kern w:val="0"/>
                <w:sz w:val="24"/>
                <w:szCs w:val="24"/>
                <w:lang w:val="en-US" w:eastAsia="zh-CN" w:bidi="ar"/>
              </w:rPr>
              <w:t>项目的实施是否有效</w:t>
            </w:r>
            <w:r>
              <w:rPr>
                <w:rFonts w:hint="eastAsia" w:ascii="仿宋_GB2312" w:hAnsi="宋体" w:eastAsia="仿宋_GB2312" w:cs="仿宋_GB2312"/>
                <w:i w:val="0"/>
                <w:iCs w:val="0"/>
                <w:color w:val="000000"/>
                <w:kern w:val="0"/>
                <w:sz w:val="24"/>
                <w:szCs w:val="24"/>
                <w:u w:val="none"/>
                <w:lang w:val="en-US" w:eastAsia="zh-CN" w:bidi="ar"/>
              </w:rPr>
              <w:t>为民营企业高质量营造优良营商环境</w:t>
            </w:r>
            <w:r>
              <w:rPr>
                <w:rFonts w:ascii="仿宋_GB2312" w:hAnsi="宋体" w:eastAsia="仿宋_GB2312" w:cs="仿宋_GB2312"/>
                <w:color w:val="000000"/>
                <w:kern w:val="0"/>
                <w:sz w:val="24"/>
                <w:szCs w:val="24"/>
                <w:lang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i w:val="0"/>
                <w:iCs w:val="0"/>
                <w:color w:val="000000"/>
                <w:kern w:val="0"/>
                <w:sz w:val="24"/>
                <w:szCs w:val="24"/>
                <w:u w:val="none"/>
                <w:lang w:val="en-US" w:eastAsia="zh-CN" w:bidi="ar"/>
              </w:rPr>
              <w:t>有效</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val="en-US" w:eastAsia="zh-CN" w:bidi="ar"/>
              </w:rPr>
              <w:t>有效</w:t>
            </w:r>
            <w:r>
              <w:rPr>
                <w:rFonts w:hint="eastAsia" w:ascii="仿宋_GB2312" w:hAnsi="宋体" w:eastAsia="仿宋_GB2312" w:cs="仿宋_GB2312"/>
                <w:i w:val="0"/>
                <w:iCs w:val="0"/>
                <w:color w:val="000000"/>
                <w:kern w:val="0"/>
                <w:sz w:val="24"/>
                <w:szCs w:val="24"/>
                <w:u w:val="none"/>
                <w:lang w:val="en-US" w:eastAsia="zh-CN" w:bidi="ar"/>
              </w:rPr>
              <w:t>为民营企业高质量营造优良营商环境</w:t>
            </w:r>
            <w:r>
              <w:rPr>
                <w:rStyle w:val="11"/>
                <w:rFonts w:hAnsi="宋体"/>
                <w:lang w:bidi="ar"/>
              </w:rPr>
              <w:t>得6分，</w:t>
            </w:r>
            <w:r>
              <w:rPr>
                <w:rStyle w:val="11"/>
                <w:rFonts w:hint="eastAsia" w:hAnsi="宋体"/>
                <w:lang w:val="en-US" w:eastAsia="zh-CN" w:bidi="ar"/>
              </w:rPr>
              <w:t>效益每降低10%</w:t>
            </w:r>
            <w:r>
              <w:rPr>
                <w:rStyle w:val="11"/>
                <w:rFonts w:hAnsi="宋体"/>
                <w:lang w:bidi="ar"/>
              </w:rPr>
              <w:t>，扣</w:t>
            </w:r>
            <w:r>
              <w:rPr>
                <w:rStyle w:val="11"/>
                <w:rFonts w:hint="eastAsia" w:hAnsi="宋体"/>
                <w:lang w:val="en-US" w:eastAsia="zh-CN" w:bidi="ar"/>
              </w:rPr>
              <w:t>1</w:t>
            </w:r>
            <w:r>
              <w:rPr>
                <w:rStyle w:val="11"/>
                <w:rFonts w:hAnsi="宋体"/>
                <w:lang w:bidi="ar"/>
              </w:rPr>
              <w:t>分，扣完为止。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kern w:val="0"/>
                <w:sz w:val="24"/>
                <w:szCs w:val="24"/>
                <w:lang w:bidi="ar"/>
              </w:rPr>
            </w:pPr>
            <w:r>
              <w:rPr>
                <w:rFonts w:ascii="仿宋_GB2312" w:hAnsi="宋体" w:eastAsia="仿宋_GB2312" w:cs="仿宋_GB2312"/>
                <w:color w:val="000000"/>
                <w:kern w:val="0"/>
                <w:sz w:val="24"/>
                <w:szCs w:val="24"/>
                <w:lang w:bidi="ar"/>
              </w:rPr>
              <w:t>6</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可持续影响（6分）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引导非公经济企业积极参与粤港澳大湾区建设</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w:t>
            </w:r>
            <w:r>
              <w:rPr>
                <w:rFonts w:hint="eastAsia" w:ascii="仿宋_GB2312" w:hAnsi="宋体" w:eastAsia="仿宋_GB2312" w:cs="仿宋_GB2312"/>
                <w:color w:val="000000"/>
                <w:kern w:val="0"/>
                <w:sz w:val="24"/>
                <w:szCs w:val="24"/>
                <w:lang w:val="en-US" w:eastAsia="zh-CN" w:bidi="ar"/>
              </w:rPr>
              <w:t>项目的实施是否有效</w:t>
            </w:r>
            <w:r>
              <w:rPr>
                <w:rFonts w:hint="eastAsia" w:ascii="仿宋_GB2312" w:hAnsi="宋体" w:eastAsia="仿宋_GB2312" w:cs="仿宋_GB2312"/>
                <w:color w:val="000000"/>
                <w:kern w:val="0"/>
                <w:sz w:val="24"/>
                <w:szCs w:val="24"/>
                <w:lang w:eastAsia="zh-CN" w:bidi="ar"/>
              </w:rPr>
              <w:t>引导非公经济企业积极参与粤港澳大湾区建设</w:t>
            </w:r>
            <w:r>
              <w:rPr>
                <w:rFonts w:ascii="仿宋_GB2312" w:hAnsi="宋体" w:eastAsia="仿宋_GB2312" w:cs="仿宋_GB2312"/>
                <w:color w:val="000000"/>
                <w:kern w:val="0"/>
                <w:sz w:val="24"/>
                <w:szCs w:val="24"/>
                <w:lang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有效</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有效</w:t>
            </w:r>
            <w:r>
              <w:rPr>
                <w:rFonts w:hint="eastAsia" w:ascii="仿宋_GB2312" w:hAnsi="宋体" w:eastAsia="仿宋_GB2312" w:cs="仿宋_GB2312"/>
                <w:color w:val="000000"/>
                <w:kern w:val="0"/>
                <w:sz w:val="24"/>
                <w:szCs w:val="24"/>
                <w:lang w:eastAsia="zh-CN" w:bidi="ar"/>
              </w:rPr>
              <w:t>引导非公经济企业积极参与粤港澳大湾区建设</w:t>
            </w:r>
            <w:r>
              <w:rPr>
                <w:rStyle w:val="11"/>
                <w:rFonts w:hAnsi="宋体"/>
                <w:lang w:bidi="ar"/>
              </w:rPr>
              <w:t>得6分，</w:t>
            </w:r>
            <w:r>
              <w:rPr>
                <w:rStyle w:val="11"/>
                <w:rFonts w:hint="eastAsia" w:hAnsi="宋体"/>
                <w:lang w:val="en-US" w:eastAsia="zh-CN" w:bidi="ar"/>
              </w:rPr>
              <w:t>效益每降低10%</w:t>
            </w:r>
            <w:r>
              <w:rPr>
                <w:rStyle w:val="11"/>
                <w:rFonts w:hAnsi="宋体"/>
                <w:lang w:bidi="ar"/>
              </w:rPr>
              <w:t>，扣</w:t>
            </w:r>
            <w:r>
              <w:rPr>
                <w:rStyle w:val="11"/>
                <w:rFonts w:hint="eastAsia" w:hAnsi="宋体"/>
                <w:lang w:val="en-US" w:eastAsia="zh-CN" w:bidi="ar"/>
              </w:rPr>
              <w:t>1</w:t>
            </w:r>
            <w:r>
              <w:rPr>
                <w:rStyle w:val="11"/>
                <w:rFonts w:hAnsi="宋体"/>
                <w:lang w:bidi="ar"/>
              </w:rPr>
              <w:t>分，扣完为止。</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满意度指标</w:t>
            </w:r>
            <w:r>
              <w:rPr>
                <w:rFonts w:hint="eastAsia" w:ascii="仿宋_GB2312" w:hAnsi="宋体" w:eastAsia="仿宋_GB2312" w:cs="仿宋_GB2312"/>
                <w:color w:val="000000"/>
                <w:kern w:val="0"/>
                <w:sz w:val="24"/>
                <w:szCs w:val="24"/>
                <w:lang w:bidi="ar"/>
              </w:rPr>
              <w:t>（</w:t>
            </w:r>
            <w:r>
              <w:rPr>
                <w:rFonts w:hint="eastAsia" w:ascii="仿宋_GB2312" w:hAnsi="宋体" w:eastAsia="仿宋_GB2312" w:cs="仿宋_GB2312"/>
                <w:color w:val="000000"/>
                <w:kern w:val="0"/>
                <w:sz w:val="24"/>
                <w:szCs w:val="24"/>
                <w:lang w:val="en-US" w:eastAsia="zh-CN" w:bidi="ar"/>
              </w:rPr>
              <w:t>6</w:t>
            </w:r>
            <w:r>
              <w:rPr>
                <w:rFonts w:hint="eastAsia" w:ascii="仿宋_GB2312" w:hAnsi="宋体" w:eastAsia="仿宋_GB2312" w:cs="仿宋_GB2312"/>
                <w:color w:val="000000"/>
                <w:kern w:val="0"/>
                <w:sz w:val="24"/>
                <w:szCs w:val="24"/>
                <w:lang w:bidi="ar"/>
              </w:rPr>
              <w:t>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辖区群众满意度</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6</w:t>
            </w:r>
            <w:r>
              <w:rPr>
                <w:rFonts w:ascii="仿宋_GB2312" w:hAnsi="宋体" w:eastAsia="仿宋_GB2312" w:cs="仿宋_GB2312"/>
                <w:color w:val="000000"/>
                <w:kern w:val="0"/>
                <w:sz w:val="24"/>
                <w:szCs w:val="24"/>
                <w:lang w:bidi="ar"/>
              </w:rPr>
              <w:t>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考察辖区居民对</w:t>
            </w:r>
            <w:r>
              <w:rPr>
                <w:rFonts w:hint="eastAsia" w:ascii="仿宋_GB2312" w:hAnsi="宋体" w:eastAsia="仿宋_GB2312" w:cs="仿宋_GB2312"/>
                <w:color w:val="000000"/>
                <w:kern w:val="0"/>
                <w:sz w:val="24"/>
                <w:szCs w:val="24"/>
                <w:lang w:eastAsia="zh-CN" w:bidi="ar"/>
              </w:rPr>
              <w:t>其他工作项目</w:t>
            </w:r>
            <w:r>
              <w:rPr>
                <w:rFonts w:ascii="仿宋_GB2312" w:hAnsi="宋体" w:eastAsia="仿宋_GB2312" w:cs="仿宋_GB2312"/>
                <w:color w:val="000000"/>
                <w:kern w:val="0"/>
                <w:sz w:val="24"/>
                <w:szCs w:val="24"/>
                <w:lang w:bidi="ar"/>
              </w:rPr>
              <w:t>的满意程度；</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Style w:val="11"/>
                <w:rFonts w:hAnsi="宋体"/>
                <w:lang w:bidi="ar"/>
              </w:rPr>
              <w:t>≥90%</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Style w:val="11"/>
                <w:rFonts w:hAnsi="宋体"/>
                <w:lang w:bidi="ar"/>
              </w:rPr>
              <w:t>依据满意度调查结果，满意度达到</w:t>
            </w:r>
            <w:r>
              <w:rPr>
                <w:rFonts w:hint="eastAsia" w:ascii="宋体" w:hAnsi="宋体" w:eastAsia="宋体" w:cs="宋体"/>
                <w:color w:val="000000"/>
                <w:kern w:val="0"/>
                <w:sz w:val="24"/>
                <w:szCs w:val="24"/>
                <w:lang w:bidi="ar"/>
              </w:rPr>
              <w:t>≥</w:t>
            </w:r>
            <w:r>
              <w:rPr>
                <w:rStyle w:val="11"/>
                <w:rFonts w:hAnsi="宋体"/>
                <w:lang w:bidi="ar"/>
              </w:rPr>
              <w:t>90%得</w:t>
            </w:r>
            <w:r>
              <w:rPr>
                <w:rStyle w:val="11"/>
                <w:rFonts w:hint="eastAsia" w:hAnsi="宋体"/>
                <w:lang w:val="en-US" w:eastAsia="zh-CN" w:bidi="ar"/>
              </w:rPr>
              <w:t>6</w:t>
            </w:r>
            <w:r>
              <w:rPr>
                <w:rStyle w:val="11"/>
                <w:rFonts w:hAnsi="宋体"/>
                <w:lang w:bidi="ar"/>
              </w:rPr>
              <w:t>分，每降低1%，扣减权重分值的3%，低于60%不得分。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3</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rPr>
                <w:rFonts w:ascii="仿宋_GB2312" w:hAnsi="宋体" w:eastAsia="仿宋_GB2312" w:cs="仿宋_GB2312"/>
                <w:color w:val="000000"/>
                <w:sz w:val="24"/>
                <w:szCs w:val="24"/>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长效管理机制</w:t>
            </w:r>
            <w:r>
              <w:rPr>
                <w:rFonts w:hint="eastAsia" w:ascii="仿宋_GB2312" w:hAnsi="宋体" w:eastAsia="仿宋_GB2312" w:cs="仿宋_GB2312"/>
                <w:color w:val="000000"/>
                <w:kern w:val="0"/>
                <w:sz w:val="24"/>
                <w:szCs w:val="24"/>
                <w:lang w:bidi="ar"/>
              </w:rPr>
              <w:t>（</w:t>
            </w:r>
            <w:r>
              <w:rPr>
                <w:rFonts w:hint="eastAsia" w:ascii="仿宋_GB2312" w:hAnsi="宋体" w:eastAsia="仿宋_GB2312" w:cs="仿宋_GB2312"/>
                <w:color w:val="000000"/>
                <w:kern w:val="0"/>
                <w:sz w:val="24"/>
                <w:szCs w:val="24"/>
                <w:lang w:val="en-US" w:eastAsia="zh-CN" w:bidi="ar"/>
              </w:rPr>
              <w:t>6</w:t>
            </w:r>
            <w:r>
              <w:rPr>
                <w:rFonts w:hint="eastAsia" w:ascii="仿宋_GB2312" w:hAnsi="宋体" w:eastAsia="仿宋_GB2312" w:cs="仿宋_GB2312"/>
                <w:color w:val="000000"/>
                <w:kern w:val="0"/>
                <w:sz w:val="24"/>
                <w:szCs w:val="24"/>
                <w:lang w:bidi="ar"/>
              </w:rPr>
              <w:t>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绩效跟踪评价</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6</w:t>
            </w:r>
            <w:r>
              <w:rPr>
                <w:rFonts w:ascii="仿宋_GB2312" w:hAnsi="宋体" w:eastAsia="仿宋_GB2312" w:cs="仿宋_GB2312"/>
                <w:color w:val="000000"/>
                <w:kern w:val="0"/>
                <w:sz w:val="24"/>
                <w:szCs w:val="24"/>
                <w:lang w:bidi="ar"/>
              </w:rPr>
              <w:t>分</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考察是否有对项目进行绩效评价。包括是否有开展绩效自评、绩效评价结果是否按要求公开、是否针对绩效评价结果进行整改反馈。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开展</w:t>
            </w:r>
          </w:p>
        </w:tc>
        <w:tc>
          <w:tcPr>
            <w:tcW w:w="1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①开展了绩效自评得</w:t>
            </w: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分，未开展该小项不得分；</w:t>
            </w:r>
          </w:p>
          <w:p>
            <w:pPr>
              <w:widowControl/>
              <w:ind w:firstLine="0" w:firstLineChars="0"/>
              <w:jc w:val="left"/>
              <w:textAlignment w:val="center"/>
              <w:rPr>
                <w:rFonts w:hint="eastAsia" w:ascii="仿宋_GB2312" w:hAnsi="宋体" w:eastAsia="仿宋_GB2312" w:cs="仿宋_GB2312"/>
                <w:color w:val="000000"/>
                <w:kern w:val="0"/>
                <w:sz w:val="24"/>
                <w:szCs w:val="24"/>
                <w:lang w:eastAsia="zh-CN" w:bidi="ar"/>
              </w:rPr>
            </w:pPr>
            <w:r>
              <w:rPr>
                <w:rFonts w:ascii="仿宋_GB2312" w:hAnsi="宋体" w:eastAsia="仿宋_GB2312" w:cs="仿宋_GB2312"/>
                <w:color w:val="000000"/>
                <w:kern w:val="0"/>
                <w:sz w:val="24"/>
                <w:szCs w:val="24"/>
                <w:lang w:bidi="ar"/>
              </w:rPr>
              <w:t>②绩效评价结果按要求进行了公开得</w:t>
            </w: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分，未按要求公开该小项不得分；</w:t>
            </w:r>
          </w:p>
          <w:p>
            <w:pPr>
              <w:widowControl/>
              <w:ind w:firstLine="0" w:firstLineChars="0"/>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③及时进行了整改反馈得</w:t>
            </w:r>
            <w:r>
              <w:rPr>
                <w:rFonts w:hint="eastAsia" w:ascii="仿宋_GB2312" w:hAnsi="宋体" w:eastAsia="仿宋_GB2312" w:cs="仿宋_GB2312"/>
                <w:color w:val="000000"/>
                <w:kern w:val="0"/>
                <w:sz w:val="24"/>
                <w:szCs w:val="24"/>
                <w:lang w:val="en-US" w:eastAsia="zh-CN" w:bidi="ar"/>
              </w:rPr>
              <w:t>2</w:t>
            </w:r>
            <w:r>
              <w:rPr>
                <w:rFonts w:ascii="仿宋_GB2312" w:hAnsi="宋体" w:eastAsia="仿宋_GB2312" w:cs="仿宋_GB2312"/>
                <w:color w:val="000000"/>
                <w:kern w:val="0"/>
                <w:sz w:val="24"/>
                <w:szCs w:val="24"/>
                <w:lang w:bidi="ar"/>
              </w:rPr>
              <w:t>分，未整改或整改不及时该小项不得分。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val="en-US" w:eastAsia="zh-CN" w:bidi="ar"/>
              </w:rPr>
              <w:t>6</w:t>
            </w:r>
            <w:r>
              <w:rPr>
                <w:rFonts w:hint="eastAsia" w:ascii="仿宋_GB2312" w:hAnsi="宋体" w:eastAsia="仿宋_GB2312" w:cs="仿宋_GB2312"/>
                <w:color w:val="000000"/>
                <w:kern w:val="0"/>
                <w:sz w:val="24"/>
                <w:szCs w:val="24"/>
                <w:lang w:bidi="ar"/>
              </w:rPr>
              <w:t>.00</w:t>
            </w:r>
          </w:p>
        </w:tc>
      </w:tr>
      <w:tr>
        <w:tblPrEx>
          <w:tblCellMar>
            <w:top w:w="0" w:type="dxa"/>
            <w:left w:w="108" w:type="dxa"/>
            <w:bottom w:w="0" w:type="dxa"/>
            <w:right w:w="108" w:type="dxa"/>
          </w:tblCellMar>
        </w:tblPrEx>
        <w:trPr>
          <w:trHeight w:val="454" w:hRule="atLeast"/>
          <w:jc w:val="center"/>
        </w:trPr>
        <w:tc>
          <w:tcPr>
            <w:tcW w:w="468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b/>
                <w:bCs/>
                <w:color w:val="000000"/>
                <w:kern w:val="0"/>
                <w:sz w:val="24"/>
                <w:szCs w:val="24"/>
                <w:lang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bidi="ar"/>
              </w:rPr>
              <w:t>94.</w:t>
            </w:r>
            <w:r>
              <w:rPr>
                <w:rFonts w:hint="eastAsia" w:ascii="仿宋_GB2312" w:hAnsi="宋体" w:eastAsia="仿宋_GB2312" w:cs="仿宋_GB2312"/>
                <w:color w:val="000000"/>
                <w:kern w:val="0"/>
                <w:sz w:val="24"/>
                <w:szCs w:val="24"/>
                <w:lang w:val="en-US" w:eastAsia="zh-CN" w:bidi="ar"/>
              </w:rPr>
              <w:t>99</w:t>
            </w:r>
          </w:p>
        </w:tc>
      </w:tr>
    </w:tbl>
    <w:p>
      <w:pPr>
        <w:ind w:left="0" w:leftChars="0" w:firstLine="0" w:firstLineChars="0"/>
        <w:rPr>
          <w:rFonts w:hint="eastAsia" w:ascii="仿宋_GB2312" w:hAnsi="Times New Roman" w:eastAsia="仿宋_GB2312" w:cs="仿宋_GB2312"/>
          <w:sz w:val="32"/>
          <w:szCs w:val="32"/>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B2BCD"/>
    <w:rsid w:val="03555370"/>
    <w:rsid w:val="04F419D9"/>
    <w:rsid w:val="0D805799"/>
    <w:rsid w:val="11F07E26"/>
    <w:rsid w:val="125735A8"/>
    <w:rsid w:val="140A39B3"/>
    <w:rsid w:val="16A8764A"/>
    <w:rsid w:val="19FE066D"/>
    <w:rsid w:val="1AD06148"/>
    <w:rsid w:val="1BAD07BD"/>
    <w:rsid w:val="1D4F79D3"/>
    <w:rsid w:val="215660BB"/>
    <w:rsid w:val="26F06285"/>
    <w:rsid w:val="2C7E213C"/>
    <w:rsid w:val="2E1B1C7C"/>
    <w:rsid w:val="33EC7B9C"/>
    <w:rsid w:val="369B715E"/>
    <w:rsid w:val="3B7F2FC3"/>
    <w:rsid w:val="3F427608"/>
    <w:rsid w:val="43151DEA"/>
    <w:rsid w:val="486D0453"/>
    <w:rsid w:val="4A0C2B74"/>
    <w:rsid w:val="4A656FDB"/>
    <w:rsid w:val="4B3F1AD2"/>
    <w:rsid w:val="5DD54D58"/>
    <w:rsid w:val="62843C67"/>
    <w:rsid w:val="67650123"/>
    <w:rsid w:val="6D8C3919"/>
    <w:rsid w:val="72591731"/>
    <w:rsid w:val="74BF2099"/>
    <w:rsid w:val="7657019E"/>
    <w:rsid w:val="7D831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jc w:val="left"/>
      <w:outlineLvl w:val="0"/>
    </w:pPr>
    <w:rPr>
      <w:rFonts w:eastAsia="黑体"/>
      <w:b/>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spacing w:after="120"/>
      <w:ind w:firstLine="420" w:firstLineChars="100"/>
    </w:pPr>
  </w:style>
  <w:style w:type="paragraph" w:styleId="3">
    <w:name w:val="Body Text"/>
    <w:basedOn w:val="1"/>
    <w:next w:val="1"/>
    <w:qFormat/>
    <w:uiPriority w:val="1"/>
    <w:pPr>
      <w:spacing w:before="145"/>
      <w:ind w:left="104"/>
    </w:pPr>
    <w:rPr>
      <w:rFonts w:ascii="宋体" w:hAnsi="宋体" w:eastAsia="宋体"/>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spacing w:line="560" w:lineRule="exact"/>
      <w:ind w:firstLine="883" w:firstLineChars="200"/>
      <w:jc w:val="center"/>
    </w:pPr>
    <w:rPr>
      <w:rFonts w:ascii="宋体" w:hAnsi="宋体" w:eastAsia="仿宋_GB2312"/>
      <w:b/>
      <w:sz w:val="44"/>
      <w:szCs w:val="44"/>
    </w:rPr>
  </w:style>
  <w:style w:type="character" w:customStyle="1" w:styleId="11">
    <w:name w:val="font21"/>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2022-01-02T05:39:00Z</dcterms:created>
  <dc:creator>25125</dc:creator>
  <cp:lastModifiedBy>-Jus</cp:lastModifiedBy>
  <dcterms:modified xsi:type="dcterms:W3CDTF">2022-02-26T04:30:48Z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CB2ABDCE9808457888099DE2EEA17406</vt:lpwstr>
  </property>
</Properties>
</file>