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Arial"/>
          <w:b/>
          <w:bCs/>
          <w:sz w:val="32"/>
          <w:szCs w:val="32"/>
        </w:rPr>
      </w:pPr>
      <w:bookmarkStart w:id="29" w:name="_GoBack"/>
      <w:bookmarkEnd w:id="29"/>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r>
        <w:rPr>
          <w:rFonts w:hint="eastAsia" w:ascii="黑体" w:hAnsi="黑体" w:eastAsia="黑体" w:cs="Arial"/>
          <w:b/>
          <w:bCs/>
          <w:sz w:val="32"/>
          <w:szCs w:val="32"/>
        </w:rPr>
        <w:t>信息系统维护项目</w:t>
      </w:r>
      <w:r>
        <w:rPr>
          <w:rFonts w:ascii="黑体" w:hAnsi="黑体" w:eastAsia="黑体" w:cs="Arial"/>
          <w:b/>
          <w:bCs/>
          <w:sz w:val="32"/>
          <w:szCs w:val="32"/>
        </w:rPr>
        <w:t>绩效</w:t>
      </w:r>
      <w:r>
        <w:rPr>
          <w:rFonts w:hint="eastAsia" w:ascii="黑体" w:hAnsi="黑体" w:eastAsia="黑体" w:cs="Arial"/>
          <w:b/>
          <w:bCs/>
          <w:sz w:val="32"/>
          <w:szCs w:val="32"/>
        </w:rPr>
        <w:t>评价报告</w:t>
      </w: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jc w:val="center"/>
        <w:rPr>
          <w:rFonts w:ascii="黑体" w:hAnsi="黑体" w:eastAsia="黑体" w:cs="Arial"/>
          <w:b/>
          <w:bCs/>
          <w:sz w:val="32"/>
          <w:szCs w:val="32"/>
        </w:rPr>
      </w:pPr>
    </w:p>
    <w:p>
      <w:pPr>
        <w:spacing w:line="360" w:lineRule="auto"/>
        <w:ind w:firstLine="1760" w:firstLineChars="550"/>
        <w:rPr>
          <w:rFonts w:ascii="仿宋_GB2312" w:hAnsi="仿宋_GB2312" w:cs="仿宋_GB2312"/>
          <w:sz w:val="32"/>
          <w:szCs w:val="32"/>
        </w:rPr>
      </w:pPr>
      <w:r>
        <w:rPr>
          <w:rFonts w:hint="eastAsia" w:ascii="仿宋_GB2312" w:hAnsi="仿宋_GB2312" w:cs="仿宋_GB2312"/>
          <w:sz w:val="32"/>
          <w:szCs w:val="32"/>
        </w:rPr>
        <w:t>项目名称：信息系统维护</w:t>
      </w:r>
    </w:p>
    <w:p>
      <w:pPr>
        <w:spacing w:line="360" w:lineRule="auto"/>
        <w:ind w:firstLine="1760" w:firstLineChars="550"/>
        <w:rPr>
          <w:rFonts w:ascii="仿宋_GB2312" w:hAnsi="仿宋_GB2312" w:cs="仿宋_GB2312"/>
          <w:sz w:val="32"/>
          <w:szCs w:val="32"/>
        </w:rPr>
      </w:pPr>
      <w:r>
        <w:rPr>
          <w:rFonts w:hint="eastAsia" w:ascii="仿宋_GB2312" w:hAnsi="仿宋_GB2312" w:cs="仿宋_GB2312"/>
          <w:sz w:val="32"/>
          <w:szCs w:val="32"/>
        </w:rPr>
        <w:t>主管部门（公章）：深圳市福田区国库支付中心</w:t>
      </w:r>
    </w:p>
    <w:p>
      <w:pPr>
        <w:rPr>
          <w:rFonts w:ascii="黑体" w:hAnsi="黑体" w:eastAsia="黑体"/>
        </w:rPr>
      </w:pPr>
    </w:p>
    <w:p>
      <w:pPr>
        <w:rPr>
          <w:rFonts w:ascii="黑体" w:hAnsi="黑体" w:eastAsia="黑体"/>
        </w:rPr>
      </w:pPr>
    </w:p>
    <w:p>
      <w:pPr>
        <w:rPr>
          <w:rFonts w:ascii="黑体" w:hAnsi="黑体" w:eastAsia="黑体"/>
        </w:rPr>
        <w:sectPr>
          <w:footerReference r:id="rId3" w:type="default"/>
          <w:pgSz w:w="11906" w:h="16838"/>
          <w:pgMar w:top="1440" w:right="1800" w:bottom="1440" w:left="1800" w:header="851" w:footer="992" w:gutter="0"/>
          <w:cols w:space="425" w:num="1"/>
          <w:docGrid w:type="lines" w:linePitch="312" w:charSpace="0"/>
        </w:sectPr>
      </w:pPr>
    </w:p>
    <w:sdt>
      <w:sdtPr>
        <w:rPr>
          <w:rFonts w:ascii="黑体" w:hAnsi="黑体" w:eastAsia="黑体" w:cs="Times New Roman"/>
          <w:color w:val="auto"/>
          <w:kern w:val="2"/>
          <w:sz w:val="30"/>
          <w:szCs w:val="24"/>
          <w:lang w:val="zh-CN"/>
        </w:rPr>
        <w:id w:val="-1215652310"/>
        <w:docPartObj>
          <w:docPartGallery w:val="Table of Contents"/>
          <w:docPartUnique/>
        </w:docPartObj>
      </w:sdtPr>
      <w:sdtEndPr>
        <w:rPr>
          <w:rFonts w:ascii="Times New Roman" w:hAnsi="Times New Roman" w:eastAsia="仿宋_GB2312" w:cs="Times New Roman"/>
          <w:b/>
          <w:bCs/>
          <w:color w:val="auto"/>
          <w:kern w:val="2"/>
          <w:sz w:val="30"/>
          <w:szCs w:val="24"/>
          <w:lang w:val="zh-CN"/>
        </w:rPr>
      </w:sdtEndPr>
      <w:sdtContent>
        <w:p>
          <w:pPr>
            <w:pStyle w:val="24"/>
            <w:jc w:val="center"/>
            <w:rPr>
              <w:rFonts w:ascii="黑体" w:hAnsi="黑体" w:eastAsia="黑体"/>
              <w:color w:val="auto"/>
              <w:lang w:val="zh-CN"/>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 xml:space="preserve"> 录</w:t>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"_Toc82783072" </w:instrText>
          </w:r>
          <w:r>
            <w:fldChar w:fldCharType="separate"/>
          </w:r>
          <w:r>
            <w:rPr>
              <w:rStyle w:val="14"/>
              <w:rFonts w:ascii="黑体" w:hAnsi="黑体" w:eastAsia="黑体"/>
              <w:b/>
              <w:bCs/>
            </w:rPr>
            <w:t>一、基本情况</w:t>
          </w:r>
          <w:r>
            <w:tab/>
          </w:r>
          <w:r>
            <w:fldChar w:fldCharType="begin"/>
          </w:r>
          <w:r>
            <w:instrText xml:space="preserve"> PAGEREF _Toc82783072 \h </w:instrText>
          </w:r>
          <w:r>
            <w:fldChar w:fldCharType="separate"/>
          </w:r>
          <w:r>
            <w:t>1</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"_Toc82783073" </w:instrText>
          </w:r>
          <w:r>
            <w:fldChar w:fldCharType="separate"/>
          </w:r>
          <w:r>
            <w:rPr>
              <w:rStyle w:val="14"/>
              <w:rFonts w:ascii="楷体_GB2312" w:eastAsia="楷体_GB2312" w:cs="楷体_GB2312"/>
            </w:rPr>
            <w:t>（一）项目概况</w:t>
          </w:r>
          <w:r>
            <w:tab/>
          </w:r>
          <w:r>
            <w:fldChar w:fldCharType="begin"/>
          </w:r>
          <w:r>
            <w:instrText xml:space="preserve"> PAGEREF _Toc82783073 \h </w:instrText>
          </w:r>
          <w:r>
            <w:fldChar w:fldCharType="separate"/>
          </w:r>
          <w:r>
            <w:t>1</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"_Toc82783074" </w:instrText>
          </w:r>
          <w:r>
            <w:fldChar w:fldCharType="separate"/>
          </w:r>
          <w:r>
            <w:rPr>
              <w:rStyle w:val="14"/>
              <w:rFonts w:ascii="楷体_GB2312" w:eastAsia="楷体_GB2312" w:cs="楷体_GB2312"/>
            </w:rPr>
            <w:t>（二）项目绩效目标</w:t>
          </w:r>
          <w:r>
            <w:tab/>
          </w:r>
          <w:r>
            <w:fldChar w:fldCharType="begin"/>
          </w:r>
          <w:r>
            <w:instrText xml:space="preserve"> PAGEREF _Toc82783074 \h </w:instrText>
          </w:r>
          <w:r>
            <w:fldChar w:fldCharType="separate"/>
          </w:r>
          <w:r>
            <w:t>2</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"_Toc82783075" </w:instrText>
          </w:r>
          <w:r>
            <w:fldChar w:fldCharType="separate"/>
          </w:r>
          <w:r>
            <w:rPr>
              <w:rStyle w:val="14"/>
              <w:rFonts w:ascii="黑体" w:hAnsi="黑体" w:eastAsia="黑体"/>
              <w:b/>
              <w:bCs/>
            </w:rPr>
            <w:t>二、绩效评价工作开展情况</w:t>
          </w:r>
          <w:r>
            <w:tab/>
          </w:r>
          <w:r>
            <w:fldChar w:fldCharType="begin"/>
          </w:r>
          <w:r>
            <w:instrText xml:space="preserve"> PAGEREF _Toc82783075 \h </w:instrText>
          </w:r>
          <w:r>
            <w:fldChar w:fldCharType="separate"/>
          </w:r>
          <w:r>
            <w:t>3</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"_Toc82783076" </w:instrText>
          </w:r>
          <w:r>
            <w:fldChar w:fldCharType="separate"/>
          </w:r>
          <w:r>
            <w:rPr>
              <w:rStyle w:val="14"/>
              <w:rFonts w:ascii="楷体_GB2312" w:eastAsia="楷体_GB2312" w:cs="楷体_GB2312"/>
            </w:rPr>
            <w:t>（一）绩效评价目的、对象和范围。</w:t>
          </w:r>
          <w:r>
            <w:tab/>
          </w:r>
          <w:r>
            <w:fldChar w:fldCharType="begin"/>
          </w:r>
          <w:r>
            <w:instrText xml:space="preserve"> PAGEREF _Toc82783076 \h </w:instrText>
          </w:r>
          <w:r>
            <w:fldChar w:fldCharType="separate"/>
          </w:r>
          <w:r>
            <w:t>3</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"_Toc82783077" </w:instrText>
          </w:r>
          <w:r>
            <w:fldChar w:fldCharType="separate"/>
          </w:r>
          <w:r>
            <w:rPr>
              <w:rStyle w:val="14"/>
              <w:rFonts w:ascii="楷体_GB2312" w:eastAsia="楷体_GB2312" w:cs="楷体_GB2312"/>
            </w:rPr>
            <w:t>（二）绩效评价原则、评价指标体系（附表说明）、评价方法、评价标准等。</w:t>
          </w:r>
          <w:r>
            <w:tab/>
          </w:r>
          <w:r>
            <w:fldChar w:fldCharType="begin"/>
          </w:r>
          <w:r>
            <w:instrText xml:space="preserve"> PAGEREF _Toc82783077 \h </w:instrText>
          </w:r>
          <w:r>
            <w:fldChar w:fldCharType="separate"/>
          </w:r>
          <w:r>
            <w:t>3</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"_Toc82783078" </w:instrText>
          </w:r>
          <w:r>
            <w:fldChar w:fldCharType="separate"/>
          </w:r>
          <w:r>
            <w:rPr>
              <w:rStyle w:val="14"/>
              <w:rFonts w:ascii="楷体_GB2312" w:eastAsia="楷体_GB2312" w:cs="楷体_GB2312"/>
            </w:rPr>
            <w:t>（三）绩效评价工作过程。</w:t>
          </w:r>
          <w:r>
            <w:tab/>
          </w:r>
          <w:r>
            <w:fldChar w:fldCharType="begin"/>
          </w:r>
          <w:r>
            <w:instrText xml:space="preserve"> PAGEREF _Toc82783078 \h </w:instrText>
          </w:r>
          <w:r>
            <w:fldChar w:fldCharType="separate"/>
          </w:r>
          <w:r>
            <w:t>5</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"_Toc82783079" </w:instrText>
          </w:r>
          <w:r>
            <w:fldChar w:fldCharType="separate"/>
          </w:r>
          <w:r>
            <w:rPr>
              <w:rStyle w:val="14"/>
              <w:rFonts w:ascii="黑体" w:hAnsi="黑体" w:eastAsia="黑体"/>
              <w:b/>
              <w:bCs/>
            </w:rPr>
            <w:t>三、综合评价情况及评价结论</w:t>
          </w:r>
          <w:r>
            <w:tab/>
          </w:r>
          <w:r>
            <w:fldChar w:fldCharType="begin"/>
          </w:r>
          <w:r>
            <w:instrText xml:space="preserve"> PAGEREF _Toc82783079 \h </w:instrText>
          </w:r>
          <w:r>
            <w:fldChar w:fldCharType="separate"/>
          </w:r>
          <w:r>
            <w:t>6</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"_Toc82783080" </w:instrText>
          </w:r>
          <w:r>
            <w:fldChar w:fldCharType="separate"/>
          </w:r>
          <w:r>
            <w:rPr>
              <w:rStyle w:val="14"/>
              <w:rFonts w:ascii="黑体" w:hAnsi="黑体" w:eastAsia="黑体"/>
              <w:b/>
              <w:bCs/>
            </w:rPr>
            <w:t>四、绩效评价指标分析</w:t>
          </w:r>
          <w:r>
            <w:tab/>
          </w:r>
          <w:r>
            <w:fldChar w:fldCharType="begin"/>
          </w:r>
          <w:r>
            <w:instrText xml:space="preserve"> PAGEREF _Toc82783080 \h </w:instrText>
          </w:r>
          <w:r>
            <w:fldChar w:fldCharType="separate"/>
          </w:r>
          <w:r>
            <w:t>7</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"_Toc82783081" </w:instrText>
          </w:r>
          <w:r>
            <w:fldChar w:fldCharType="separate"/>
          </w:r>
          <w:r>
            <w:rPr>
              <w:rStyle w:val="14"/>
              <w:rFonts w:ascii="楷体_GB2312" w:eastAsia="楷体_GB2312" w:cs="楷体_GB2312"/>
            </w:rPr>
            <w:t>（一）项目决策情况</w:t>
          </w:r>
          <w:r>
            <w:tab/>
          </w:r>
          <w:r>
            <w:fldChar w:fldCharType="begin"/>
          </w:r>
          <w:r>
            <w:instrText xml:space="preserve"> PAGEREF _Toc82783081 \h </w:instrText>
          </w:r>
          <w:r>
            <w:fldChar w:fldCharType="separate"/>
          </w:r>
          <w:r>
            <w:t>7</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"_Toc82783082" </w:instrText>
          </w:r>
          <w:r>
            <w:fldChar w:fldCharType="separate"/>
          </w:r>
          <w:r>
            <w:rPr>
              <w:rStyle w:val="14"/>
              <w:rFonts w:ascii="楷体_GB2312" w:eastAsia="楷体_GB2312" w:cs="楷体_GB2312"/>
            </w:rPr>
            <w:t>（二）项目过程情况</w:t>
          </w:r>
          <w:r>
            <w:tab/>
          </w:r>
          <w:r>
            <w:fldChar w:fldCharType="begin"/>
          </w:r>
          <w:r>
            <w:instrText xml:space="preserve"> PAGEREF _Toc82783082 \h </w:instrText>
          </w:r>
          <w:r>
            <w:fldChar w:fldCharType="separate"/>
          </w:r>
          <w:r>
            <w:t>9</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"_Toc82783083" </w:instrText>
          </w:r>
          <w:r>
            <w:fldChar w:fldCharType="separate"/>
          </w:r>
          <w:r>
            <w:rPr>
              <w:rStyle w:val="14"/>
              <w:rFonts w:ascii="楷体_GB2312" w:eastAsia="楷体_GB2312" w:cs="楷体_GB2312"/>
            </w:rPr>
            <w:t>（三）项目产出情况。</w:t>
          </w:r>
          <w:r>
            <w:tab/>
          </w:r>
          <w:r>
            <w:fldChar w:fldCharType="begin"/>
          </w:r>
          <w:r>
            <w:instrText xml:space="preserve"> PAGEREF _Toc82783083 \h </w:instrText>
          </w:r>
          <w:r>
            <w:fldChar w:fldCharType="separate"/>
          </w:r>
          <w:r>
            <w:t>10</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"_Toc82783084" </w:instrText>
          </w:r>
          <w:r>
            <w:fldChar w:fldCharType="separate"/>
          </w:r>
          <w:r>
            <w:rPr>
              <w:rStyle w:val="14"/>
              <w:rFonts w:ascii="楷体_GB2312" w:eastAsia="楷体_GB2312" w:cs="楷体_GB2312"/>
            </w:rPr>
            <w:t>（四）项目效益情况。</w:t>
          </w:r>
          <w:r>
            <w:tab/>
          </w:r>
          <w:r>
            <w:fldChar w:fldCharType="begin"/>
          </w:r>
          <w:r>
            <w:instrText xml:space="preserve"> PAGEREF _Toc82783084 \h </w:instrText>
          </w:r>
          <w:r>
            <w:fldChar w:fldCharType="separate"/>
          </w:r>
          <w:r>
            <w:t>11</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"_Toc82783085" </w:instrText>
          </w:r>
          <w:r>
            <w:fldChar w:fldCharType="separate"/>
          </w:r>
          <w:r>
            <w:rPr>
              <w:rStyle w:val="14"/>
              <w:rFonts w:ascii="黑体" w:hAnsi="黑体" w:eastAsia="黑体"/>
              <w:b/>
              <w:bCs/>
            </w:rPr>
            <w:t>五、主要经验及做法</w:t>
          </w:r>
          <w:r>
            <w:tab/>
          </w:r>
          <w:r>
            <w:fldChar w:fldCharType="begin"/>
          </w:r>
          <w:r>
            <w:instrText xml:space="preserve"> PAGEREF _Toc82783085 \h </w:instrText>
          </w:r>
          <w:r>
            <w:fldChar w:fldCharType="separate"/>
          </w:r>
          <w:r>
            <w:t>12</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"_Toc82783086" </w:instrText>
          </w:r>
          <w:r>
            <w:fldChar w:fldCharType="separate"/>
          </w:r>
          <w:r>
            <w:rPr>
              <w:rStyle w:val="14"/>
              <w:rFonts w:ascii="黑体" w:hAnsi="黑体" w:eastAsia="黑体"/>
              <w:b/>
              <w:bCs/>
            </w:rPr>
            <w:t>六、存在的问题及原因分析</w:t>
          </w:r>
          <w:r>
            <w:tab/>
          </w:r>
          <w:r>
            <w:fldChar w:fldCharType="begin"/>
          </w:r>
          <w:r>
            <w:instrText xml:space="preserve"> PAGEREF _Toc82783086 \h </w:instrText>
          </w:r>
          <w:r>
            <w:fldChar w:fldCharType="separate"/>
          </w:r>
          <w:r>
            <w:t>13</w:t>
          </w:r>
          <w:r>
            <w:fldChar w:fldCharType="end"/>
          </w:r>
          <w:r>
            <w:fldChar w:fldCharType="end"/>
          </w:r>
        </w:p>
        <w:p>
          <w:pPr>
            <w:pStyle w:val="9"/>
            <w:tabs>
              <w:tab w:val="right" w:leader="dot" w:pos="8296"/>
            </w:tabs>
            <w:spacing w:line="360" w:lineRule="auto"/>
            <w:rPr>
              <w:rFonts w:asciiTheme="minorHAnsi" w:hAnsiTheme="minorHAnsi" w:eastAsiaTheme="minorEastAsia" w:cstheme="minorBidi"/>
              <w:sz w:val="21"/>
              <w:szCs w:val="22"/>
            </w:rPr>
          </w:pPr>
          <w:r>
            <w:fldChar w:fldCharType="begin"/>
          </w:r>
          <w:r>
            <w:instrText xml:space="preserve"> HYPERLINK \l "_Toc82783087" </w:instrText>
          </w:r>
          <w:r>
            <w:fldChar w:fldCharType="separate"/>
          </w:r>
          <w:r>
            <w:rPr>
              <w:rStyle w:val="14"/>
              <w:rFonts w:ascii="黑体" w:hAnsi="黑体" w:eastAsia="黑体"/>
              <w:b/>
              <w:bCs/>
            </w:rPr>
            <w:t>七、有关建议</w:t>
          </w:r>
          <w:r>
            <w:tab/>
          </w:r>
          <w:r>
            <w:fldChar w:fldCharType="begin"/>
          </w:r>
          <w:r>
            <w:instrText xml:space="preserve"> PAGEREF _Toc82783087 \h </w:instrText>
          </w:r>
          <w:r>
            <w:fldChar w:fldCharType="separate"/>
          </w:r>
          <w:r>
            <w:t>13</w:t>
          </w:r>
          <w:r>
            <w:fldChar w:fldCharType="end"/>
          </w:r>
          <w:r>
            <w:fldChar w:fldCharType="end"/>
          </w:r>
        </w:p>
        <w:p>
          <w:pPr>
            <w:pStyle w:val="10"/>
            <w:tabs>
              <w:tab w:val="right" w:leader="dot" w:pos="8296"/>
            </w:tabs>
            <w:spacing w:line="360" w:lineRule="auto"/>
            <w:ind w:left="600"/>
            <w:rPr>
              <w:rFonts w:asciiTheme="minorHAnsi" w:hAnsiTheme="minorHAnsi" w:eastAsiaTheme="minorEastAsia" w:cstheme="minorBidi"/>
              <w:sz w:val="21"/>
              <w:szCs w:val="22"/>
            </w:rPr>
          </w:pPr>
          <w:r>
            <w:fldChar w:fldCharType="begin"/>
          </w:r>
          <w:r>
            <w:instrText xml:space="preserve"> HYPERLINK \l "_Toc82783088" </w:instrText>
          </w:r>
          <w:r>
            <w:fldChar w:fldCharType="separate"/>
          </w:r>
          <w:r>
            <w:rPr>
              <w:rStyle w:val="14"/>
              <w:rFonts w:ascii="黑体" w:hAnsi="黑体" w:cs="黑体"/>
            </w:rPr>
            <w:t>附件1</w:t>
          </w:r>
          <w:r>
            <w:tab/>
          </w:r>
          <w:r>
            <w:fldChar w:fldCharType="begin"/>
          </w:r>
          <w:r>
            <w:instrText xml:space="preserve"> PAGEREF _Toc82783088 \h </w:instrText>
          </w:r>
          <w:r>
            <w:fldChar w:fldCharType="separate"/>
          </w:r>
          <w:r>
            <w:t>15</w:t>
          </w:r>
          <w:r>
            <w:fldChar w:fldCharType="end"/>
          </w:r>
          <w:r>
            <w:fldChar w:fldCharType="end"/>
          </w:r>
        </w:p>
        <w:p>
          <w:pPr>
            <w:pStyle w:val="10"/>
            <w:tabs>
              <w:tab w:val="right" w:leader="dot" w:pos="8296"/>
            </w:tabs>
            <w:spacing w:line="360" w:lineRule="auto"/>
            <w:ind w:left="600"/>
            <w:rPr>
              <w:rFonts w:asciiTheme="minorHAnsi" w:hAnsiTheme="minorHAnsi" w:eastAsiaTheme="minorEastAsia" w:cstheme="minorBidi"/>
              <w:sz w:val="21"/>
              <w:szCs w:val="22"/>
            </w:rPr>
          </w:pPr>
          <w:r>
            <w:fldChar w:fldCharType="begin"/>
          </w:r>
          <w:r>
            <w:instrText xml:space="preserve"> HYPERLINK \l "_Toc82783089" </w:instrText>
          </w:r>
          <w:r>
            <w:fldChar w:fldCharType="separate"/>
          </w:r>
          <w:r>
            <w:rPr>
              <w:rStyle w:val="14"/>
              <w:rFonts w:ascii="宋体" w:hAnsi="宋体" w:eastAsia="宋体" w:cs="宋体"/>
              <w:bCs/>
            </w:rPr>
            <w:t>项目支出绩效评价指标体系</w:t>
          </w:r>
          <w:r>
            <w:tab/>
          </w:r>
          <w:r>
            <w:fldChar w:fldCharType="begin"/>
          </w:r>
          <w:r>
            <w:instrText xml:space="preserve"> PAGEREF _Toc82783089 \h </w:instrText>
          </w:r>
          <w:r>
            <w:fldChar w:fldCharType="separate"/>
          </w:r>
          <w:r>
            <w:t>15</w:t>
          </w:r>
          <w:r>
            <w:fldChar w:fldCharType="end"/>
          </w:r>
          <w:r>
            <w:fldChar w:fldCharType="end"/>
          </w:r>
        </w:p>
        <w:p>
          <w:pPr>
            <w:sectPr>
              <w:footerReference r:id="rId4" w:type="default"/>
              <w:pgSz w:w="11906" w:h="16838"/>
              <w:pgMar w:top="1440" w:right="1800" w:bottom="1440" w:left="1800" w:header="851" w:footer="992" w:gutter="0"/>
              <w:cols w:space="425" w:num="1"/>
              <w:docGrid w:type="lines" w:linePitch="312" w:charSpace="0"/>
            </w:sectPr>
          </w:pPr>
          <w:r>
            <w:rPr>
              <w:b/>
              <w:bCs/>
              <w:lang w:val="zh-CN"/>
            </w:rPr>
            <w:fldChar w:fldCharType="end"/>
          </w:r>
        </w:p>
      </w:sdtContent>
    </w:sdt>
    <w:p>
      <w:pPr>
        <w:spacing w:line="600" w:lineRule="exact"/>
        <w:ind w:firstLine="643" w:firstLineChars="200"/>
        <w:outlineLvl w:val="0"/>
        <w:rPr>
          <w:rFonts w:ascii="黑体" w:hAnsi="黑体" w:eastAsia="黑体"/>
          <w:b/>
          <w:bCs/>
          <w:sz w:val="32"/>
          <w:szCs w:val="32"/>
        </w:rPr>
      </w:pPr>
      <w:bookmarkStart w:id="0" w:name="_Toc82783072"/>
      <w:r>
        <w:rPr>
          <w:rFonts w:hint="eastAsia" w:ascii="黑体" w:hAnsi="黑体" w:eastAsia="黑体"/>
          <w:b/>
          <w:bCs/>
          <w:sz w:val="32"/>
          <w:szCs w:val="32"/>
        </w:rPr>
        <w:t>一、基本情况</w:t>
      </w:r>
      <w:bookmarkEnd w:id="0"/>
    </w:p>
    <w:p>
      <w:pPr>
        <w:adjustRightInd w:val="0"/>
        <w:snapToGrid w:val="0"/>
        <w:spacing w:line="560" w:lineRule="exact"/>
        <w:ind w:firstLine="643" w:firstLineChars="200"/>
        <w:outlineLvl w:val="0"/>
        <w:rPr>
          <w:rFonts w:ascii="楷体_GB2312" w:eastAsia="楷体_GB2312" w:cs="楷体_GB2312"/>
          <w:b/>
          <w:bCs/>
          <w:sz w:val="32"/>
          <w:szCs w:val="32"/>
        </w:rPr>
      </w:pPr>
      <w:bookmarkStart w:id="1" w:name="_Toc82783073"/>
      <w:r>
        <w:rPr>
          <w:rFonts w:hint="eastAsia" w:ascii="楷体_GB2312" w:eastAsia="楷体_GB2312" w:cs="楷体_GB2312"/>
          <w:b/>
          <w:bCs/>
          <w:sz w:val="32"/>
          <w:szCs w:val="32"/>
        </w:rPr>
        <w:t>（一）项目概况</w:t>
      </w:r>
      <w:bookmarkEnd w:id="1"/>
    </w:p>
    <w:p>
      <w:pPr>
        <w:spacing w:line="560" w:lineRule="exact"/>
        <w:ind w:firstLine="640" w:firstLineChars="200"/>
        <w:rPr>
          <w:rFonts w:ascii="仿宋_GB2312"/>
          <w:sz w:val="32"/>
          <w:szCs w:val="32"/>
        </w:rPr>
      </w:pPr>
      <w:r>
        <w:rPr>
          <w:rFonts w:hint="eastAsia" w:ascii="仿宋_GB2312"/>
          <w:sz w:val="32"/>
          <w:szCs w:val="32"/>
        </w:rPr>
        <w:t>1.项目背景与立项依据</w:t>
      </w:r>
    </w:p>
    <w:p>
      <w:pPr>
        <w:spacing w:line="560" w:lineRule="exact"/>
        <w:ind w:firstLine="600" w:firstLineChars="200"/>
        <w:rPr>
          <w:rFonts w:ascii="仿宋_GB2312"/>
        </w:rPr>
      </w:pPr>
      <w:r>
        <w:rPr>
          <w:rFonts w:hint="eastAsia" w:ascii="仿宋_GB2312"/>
        </w:rPr>
        <w:t>近年来，财政部为加强行政事业单位财务管理工作，根据国库集中支付改革的精神，在现行行政事业单位会计制度的基础上，明确规定财政资金实行收支两条线的管理模式，单位支出严格按照预算规定执行，保证单位资金在所有权、使用权不变的前提下，理顺并加强了财政部门在单位财务管理中的事前预测、事中管理权限，和相应的审批程序。2006年——2008年，由市财政局牵头建设的市、区“金财工程”，“国库集中支付系统”，已完成开发、并全面铺开使用。截止到2009年1月1日，深圳市福田区“金财工程”核心业务系统全面上线，部门预算编制系统、指标管理系统、国库集中支付系统、总账系统、综合查询系统也全部开通。这标志着是我区多年来长期坚持财政改革工作的新胜利和发展的里程碑，各政府行政事业单位财务集中监督管理的制度框架已基本成型。为响应财政部关于政府财政财务制度改革精神，深圳市福田区国库支付中心（以下简称“中心”）经认真调研分析，2</w:t>
      </w:r>
      <w:r>
        <w:rPr>
          <w:rFonts w:ascii="仿宋_GB2312"/>
        </w:rPr>
        <w:t>012</w:t>
      </w:r>
      <w:r>
        <w:rPr>
          <w:rFonts w:hint="eastAsia" w:ascii="仿宋_GB2312"/>
        </w:rPr>
        <w:t>年开发完成了新的“电算化系统”，并每年对该系统进行维护。</w:t>
      </w:r>
    </w:p>
    <w:p>
      <w:pPr>
        <w:spacing w:line="560" w:lineRule="exact"/>
        <w:ind w:firstLine="640" w:firstLineChars="200"/>
        <w:rPr>
          <w:rFonts w:ascii="仿宋_GB2312"/>
          <w:sz w:val="32"/>
          <w:szCs w:val="32"/>
        </w:rPr>
      </w:pPr>
      <w:r>
        <w:rPr>
          <w:rFonts w:hint="eastAsia" w:ascii="仿宋_GB2312"/>
          <w:sz w:val="32"/>
          <w:szCs w:val="32"/>
        </w:rPr>
        <w:t>2.组织架构与职责分工</w:t>
      </w:r>
    </w:p>
    <w:p>
      <w:pPr>
        <w:spacing w:line="560" w:lineRule="exact"/>
        <w:ind w:firstLine="600" w:firstLineChars="200"/>
        <w:rPr>
          <w:rFonts w:ascii="仿宋_GB2312"/>
        </w:rPr>
      </w:pPr>
      <w:r>
        <w:rPr>
          <w:rFonts w:hint="eastAsia" w:ascii="仿宋_GB2312"/>
        </w:rPr>
        <w:t>本项目由中心办公室具体负责组织实施，主要职责是：一、根据中心年度工作计划，编制项目预算，明确项目绩效目标，并履行报批程序；二、预算批复后，根据项目情况，实施采购活动，并组织项目实施、付款等活动。</w:t>
      </w:r>
    </w:p>
    <w:p>
      <w:pPr>
        <w:spacing w:line="560" w:lineRule="exact"/>
        <w:ind w:firstLine="600" w:firstLineChars="200"/>
        <w:rPr>
          <w:rFonts w:ascii="仿宋_GB2312"/>
        </w:rPr>
      </w:pPr>
      <w:r>
        <w:rPr>
          <w:rFonts w:hint="eastAsia" w:ascii="仿宋_GB2312"/>
        </w:rPr>
        <w:t>各系统升级和运维人员，负责根据中心业务需求对系统进行开发升级、维护，及时高效地排除故障，切实保证软件系统正常运行以及信息数据安全完整。</w:t>
      </w:r>
    </w:p>
    <w:p>
      <w:pPr>
        <w:spacing w:line="560" w:lineRule="exact"/>
        <w:ind w:firstLine="640" w:firstLineChars="200"/>
        <w:rPr>
          <w:rFonts w:ascii="仿宋_GB2312"/>
          <w:sz w:val="32"/>
          <w:szCs w:val="32"/>
        </w:rPr>
      </w:pPr>
      <w:r>
        <w:rPr>
          <w:rFonts w:hint="eastAsia" w:ascii="仿宋_GB2312"/>
          <w:sz w:val="32"/>
          <w:szCs w:val="32"/>
        </w:rPr>
        <w:t>3.资金投入与使用情况</w:t>
      </w:r>
    </w:p>
    <w:p>
      <w:pPr>
        <w:spacing w:line="560" w:lineRule="exact"/>
        <w:ind w:firstLine="600" w:firstLineChars="200"/>
        <w:rPr>
          <w:rFonts w:ascii="仿宋_GB2312"/>
        </w:rPr>
      </w:pPr>
      <w:r>
        <w:rPr>
          <w:rFonts w:hint="eastAsia" w:ascii="仿宋_GB2312"/>
        </w:rPr>
        <w:t>20</w:t>
      </w:r>
      <w:r>
        <w:rPr>
          <w:rFonts w:ascii="仿宋_GB2312"/>
        </w:rPr>
        <w:t>20</w:t>
      </w:r>
      <w:r>
        <w:rPr>
          <w:rFonts w:hint="eastAsia" w:ascii="仿宋_GB2312"/>
        </w:rPr>
        <w:t>年度信息系统维护项目年初预算安排</w:t>
      </w:r>
      <w:r>
        <w:rPr>
          <w:rFonts w:ascii="仿宋_GB2312"/>
        </w:rPr>
        <w:t>38</w:t>
      </w:r>
      <w:r>
        <w:rPr>
          <w:rFonts w:hint="eastAsia" w:ascii="仿宋_GB2312"/>
        </w:rPr>
        <w:t>.00万元，年中调整预算</w:t>
      </w:r>
      <w:r>
        <w:rPr>
          <w:rFonts w:ascii="仿宋_GB2312"/>
        </w:rPr>
        <w:t>1</w:t>
      </w:r>
      <w:r>
        <w:rPr>
          <w:rFonts w:hint="eastAsia" w:ascii="仿宋_GB2312"/>
        </w:rPr>
        <w:t>.</w:t>
      </w:r>
      <w:r>
        <w:rPr>
          <w:rFonts w:ascii="仿宋_GB2312"/>
        </w:rPr>
        <w:t>4</w:t>
      </w:r>
      <w:r>
        <w:rPr>
          <w:rFonts w:hint="eastAsia" w:ascii="仿宋_GB2312"/>
        </w:rPr>
        <w:t>万元，全年预算安排</w:t>
      </w:r>
      <w:r>
        <w:rPr>
          <w:rFonts w:ascii="仿宋_GB2312"/>
        </w:rPr>
        <w:t>36</w:t>
      </w:r>
      <w:r>
        <w:rPr>
          <w:rFonts w:hint="eastAsia" w:ascii="仿宋_GB2312"/>
        </w:rPr>
        <w:t>.</w:t>
      </w:r>
      <w:r>
        <w:rPr>
          <w:rFonts w:ascii="仿宋_GB2312"/>
        </w:rPr>
        <w:t>6</w:t>
      </w:r>
      <w:r>
        <w:rPr>
          <w:rFonts w:hint="eastAsia" w:ascii="仿宋_GB2312"/>
        </w:rPr>
        <w:t>万元。截至20</w:t>
      </w:r>
      <w:r>
        <w:rPr>
          <w:rFonts w:ascii="仿宋_GB2312"/>
        </w:rPr>
        <w:t>20</w:t>
      </w:r>
      <w:r>
        <w:rPr>
          <w:rFonts w:hint="eastAsia" w:ascii="仿宋_GB2312"/>
        </w:rPr>
        <w:t>年年底，项目实际支出</w:t>
      </w:r>
      <w:r>
        <w:rPr>
          <w:rFonts w:ascii="仿宋_GB2312"/>
        </w:rPr>
        <w:t>36.58</w:t>
      </w:r>
      <w:r>
        <w:rPr>
          <w:rFonts w:hint="eastAsia" w:ascii="仿宋_GB2312"/>
        </w:rPr>
        <w:t>万元，预算执行率为99.</w:t>
      </w:r>
      <w:r>
        <w:rPr>
          <w:rFonts w:ascii="仿宋_GB2312"/>
        </w:rPr>
        <w:t>95</w:t>
      </w:r>
      <w:r>
        <w:rPr>
          <w:rFonts w:hint="eastAsia" w:ascii="仿宋_GB2312"/>
        </w:rPr>
        <w:t>%</w:t>
      </w:r>
    </w:p>
    <w:p>
      <w:pPr>
        <w:adjustRightInd w:val="0"/>
        <w:snapToGrid w:val="0"/>
        <w:spacing w:line="560" w:lineRule="exact"/>
        <w:ind w:firstLine="643" w:firstLineChars="200"/>
        <w:outlineLvl w:val="0"/>
        <w:rPr>
          <w:rFonts w:ascii="楷体_GB2312" w:eastAsia="楷体_GB2312" w:cs="楷体_GB2312"/>
          <w:b/>
          <w:bCs/>
          <w:sz w:val="32"/>
          <w:szCs w:val="32"/>
        </w:rPr>
      </w:pPr>
      <w:bookmarkStart w:id="2" w:name="_Toc82783074"/>
      <w:r>
        <w:rPr>
          <w:rFonts w:hint="eastAsia" w:ascii="楷体_GB2312" w:eastAsia="楷体_GB2312" w:cs="楷体_GB2312"/>
          <w:b/>
          <w:bCs/>
          <w:sz w:val="32"/>
          <w:szCs w:val="32"/>
        </w:rPr>
        <w:t>（二）项目绩效目标</w:t>
      </w:r>
      <w:bookmarkEnd w:id="2"/>
    </w:p>
    <w:p>
      <w:pPr>
        <w:spacing w:line="560" w:lineRule="exact"/>
        <w:ind w:firstLine="640" w:firstLineChars="200"/>
        <w:rPr>
          <w:rFonts w:ascii="仿宋_GB2312"/>
          <w:sz w:val="32"/>
          <w:szCs w:val="32"/>
        </w:rPr>
      </w:pPr>
      <w:r>
        <w:rPr>
          <w:rFonts w:hint="eastAsia" w:ascii="仿宋_GB2312"/>
          <w:sz w:val="32"/>
          <w:szCs w:val="32"/>
        </w:rPr>
        <w:t>项目总体目标为：</w:t>
      </w:r>
    </w:p>
    <w:p>
      <w:pPr>
        <w:spacing w:line="560" w:lineRule="exact"/>
        <w:ind w:firstLine="600" w:firstLineChars="200"/>
        <w:rPr>
          <w:rFonts w:ascii="仿宋_GB2312"/>
        </w:rPr>
      </w:pPr>
      <w:r>
        <w:rPr>
          <w:rFonts w:ascii="仿宋_GB2312"/>
        </w:rPr>
        <w:t>1</w:t>
      </w:r>
      <w:r>
        <w:rPr>
          <w:rFonts w:hint="eastAsia" w:ascii="仿宋_GB2312"/>
        </w:rPr>
        <w:t>.保障信息系统安全稳定运行，延长设备使用寿命；</w:t>
      </w:r>
    </w:p>
    <w:p>
      <w:pPr>
        <w:spacing w:line="560" w:lineRule="exact"/>
        <w:ind w:firstLine="600" w:firstLineChars="200"/>
        <w:rPr>
          <w:rFonts w:ascii="仿宋_GB2312"/>
        </w:rPr>
      </w:pPr>
      <w:r>
        <w:rPr>
          <w:rFonts w:ascii="仿宋_GB2312"/>
        </w:rPr>
        <w:t>2</w:t>
      </w:r>
      <w:r>
        <w:rPr>
          <w:rFonts w:hint="eastAsia" w:ascii="仿宋_GB2312"/>
        </w:rPr>
        <w:t>.促进办公信息化建设，提高工作效率。</w:t>
      </w:r>
    </w:p>
    <w:p>
      <w:pPr>
        <w:spacing w:line="560" w:lineRule="exact"/>
        <w:ind w:firstLine="640" w:firstLineChars="200"/>
        <w:rPr>
          <w:rFonts w:ascii="仿宋_GB2312"/>
          <w:sz w:val="32"/>
          <w:szCs w:val="32"/>
        </w:rPr>
      </w:pPr>
      <w:r>
        <w:rPr>
          <w:rFonts w:hint="eastAsia" w:ascii="仿宋_GB2312"/>
          <w:sz w:val="32"/>
          <w:szCs w:val="32"/>
        </w:rPr>
        <w:t>项目阶段性目标为：</w:t>
      </w:r>
    </w:p>
    <w:p>
      <w:pPr>
        <w:spacing w:line="560" w:lineRule="exact"/>
        <w:ind w:firstLine="600" w:firstLineChars="200"/>
        <w:rPr>
          <w:rFonts w:ascii="仿宋_GB2312"/>
        </w:rPr>
      </w:pPr>
      <w:r>
        <w:rPr>
          <w:rFonts w:hint="eastAsia" w:ascii="仿宋_GB2312"/>
        </w:rPr>
        <w:t>1.对财务软件系统及报销单据软件的日常维护，解决系统在运行期间发生的问题。</w:t>
      </w:r>
    </w:p>
    <w:p>
      <w:pPr>
        <w:spacing w:line="560" w:lineRule="exact"/>
        <w:ind w:firstLine="600" w:firstLineChars="200"/>
        <w:rPr>
          <w:rFonts w:ascii="仿宋_GB2312"/>
        </w:rPr>
      </w:pPr>
      <w:r>
        <w:rPr>
          <w:rFonts w:hint="eastAsia" w:ascii="仿宋_GB2312"/>
        </w:rPr>
        <w:t>2.保障信息系统正常运转，完善系统的功能，适应管理环境的变化，为业务开展提供支撑。</w:t>
      </w:r>
    </w:p>
    <w:p>
      <w:pPr>
        <w:spacing w:line="600" w:lineRule="exact"/>
        <w:ind w:firstLine="643" w:firstLineChars="200"/>
        <w:outlineLvl w:val="0"/>
        <w:rPr>
          <w:rFonts w:ascii="黑体" w:hAnsi="黑体" w:eastAsia="黑体"/>
          <w:b/>
          <w:bCs/>
          <w:sz w:val="32"/>
          <w:szCs w:val="32"/>
        </w:rPr>
      </w:pPr>
      <w:bookmarkStart w:id="3" w:name="_Toc77351608"/>
      <w:bookmarkStart w:id="4" w:name="_Toc82783075"/>
      <w:r>
        <w:rPr>
          <w:rFonts w:hint="eastAsia" w:ascii="黑体" w:hAnsi="黑体" w:eastAsia="黑体"/>
          <w:b/>
          <w:bCs/>
          <w:sz w:val="32"/>
          <w:szCs w:val="32"/>
        </w:rPr>
        <w:t>二、绩效评价工作开展情况</w:t>
      </w:r>
      <w:bookmarkEnd w:id="3"/>
      <w:bookmarkEnd w:id="4"/>
    </w:p>
    <w:p>
      <w:pPr>
        <w:adjustRightInd w:val="0"/>
        <w:snapToGrid w:val="0"/>
        <w:spacing w:line="560" w:lineRule="exact"/>
        <w:ind w:firstLine="643" w:firstLineChars="200"/>
        <w:outlineLvl w:val="0"/>
        <w:rPr>
          <w:rFonts w:ascii="楷体_GB2312" w:eastAsia="楷体_GB2312" w:cs="楷体_GB2312"/>
          <w:b/>
          <w:bCs/>
          <w:sz w:val="32"/>
          <w:szCs w:val="32"/>
        </w:rPr>
      </w:pPr>
      <w:bookmarkStart w:id="5" w:name="_Toc82783076"/>
      <w:r>
        <w:rPr>
          <w:rFonts w:hint="eastAsia" w:ascii="楷体_GB2312" w:eastAsia="楷体_GB2312" w:cs="楷体_GB2312"/>
          <w:b/>
          <w:bCs/>
          <w:sz w:val="32"/>
          <w:szCs w:val="32"/>
        </w:rPr>
        <w:t>（一）绩效评价目的、对象和范围。</w:t>
      </w:r>
      <w:bookmarkEnd w:id="5"/>
    </w:p>
    <w:p>
      <w:pPr>
        <w:spacing w:line="560" w:lineRule="exact"/>
        <w:ind w:firstLine="640" w:firstLineChars="200"/>
        <w:rPr>
          <w:rFonts w:ascii="仿宋_GB2312"/>
          <w:sz w:val="32"/>
          <w:szCs w:val="32"/>
        </w:rPr>
      </w:pPr>
      <w:r>
        <w:rPr>
          <w:rFonts w:hint="eastAsia" w:ascii="仿宋_GB2312"/>
          <w:sz w:val="32"/>
          <w:szCs w:val="32"/>
        </w:rPr>
        <w:t>1</w:t>
      </w:r>
      <w:r>
        <w:rPr>
          <w:rFonts w:ascii="仿宋_GB2312"/>
          <w:sz w:val="32"/>
          <w:szCs w:val="32"/>
        </w:rPr>
        <w:t>.</w:t>
      </w:r>
      <w:r>
        <w:rPr>
          <w:rFonts w:hint="eastAsia" w:ascii="仿宋_GB2312"/>
          <w:sz w:val="32"/>
          <w:szCs w:val="32"/>
        </w:rPr>
        <w:t>评价的目的</w:t>
      </w:r>
    </w:p>
    <w:p>
      <w:pPr>
        <w:spacing w:line="560" w:lineRule="exact"/>
        <w:ind w:firstLine="600" w:firstLineChars="200"/>
        <w:rPr>
          <w:rFonts w:ascii="仿宋_GB2312"/>
        </w:rPr>
      </w:pPr>
      <w:r>
        <w:rPr>
          <w:rFonts w:ascii="仿宋_GB2312"/>
        </w:rPr>
        <w:t>从资金使用的经济性、效率性、效果性和公平性进行综合评判，客观评价2020年度</w:t>
      </w:r>
      <w:r>
        <w:rPr>
          <w:rFonts w:hint="eastAsia" w:ascii="仿宋_GB2312"/>
        </w:rPr>
        <w:t>信息系统维护项目</w:t>
      </w:r>
      <w:r>
        <w:rPr>
          <w:rFonts w:ascii="仿宋_GB2312"/>
        </w:rPr>
        <w:t>的经费使用情况，衡量一个完整财政年度内项目支出的整体绩效。通过本次绩效评价，旨在总结既有经验、分析存在问题，强化部门预算绩效管理意识，促进被评价单位进一步提升预算绩效管理工作水平，强化支出责任，规范资金管理行为，提高财政资金使用效益。</w:t>
      </w:r>
    </w:p>
    <w:p>
      <w:pPr>
        <w:spacing w:line="560" w:lineRule="exact"/>
        <w:ind w:firstLine="640" w:firstLineChars="200"/>
        <w:rPr>
          <w:rFonts w:ascii="仿宋_GB2312"/>
          <w:sz w:val="32"/>
          <w:szCs w:val="32"/>
        </w:rPr>
      </w:pPr>
      <w:r>
        <w:rPr>
          <w:rFonts w:hint="eastAsia" w:ascii="仿宋_GB2312"/>
          <w:sz w:val="32"/>
          <w:szCs w:val="32"/>
        </w:rPr>
        <w:t>2</w:t>
      </w:r>
      <w:r>
        <w:rPr>
          <w:rFonts w:ascii="仿宋_GB2312"/>
          <w:sz w:val="32"/>
          <w:szCs w:val="32"/>
        </w:rPr>
        <w:t>.</w:t>
      </w:r>
      <w:r>
        <w:rPr>
          <w:rFonts w:hint="eastAsia" w:ascii="仿宋_GB2312"/>
          <w:sz w:val="32"/>
          <w:szCs w:val="32"/>
        </w:rPr>
        <w:t>评价对象和范围</w:t>
      </w:r>
    </w:p>
    <w:p>
      <w:pPr>
        <w:spacing w:line="560" w:lineRule="exact"/>
        <w:ind w:firstLine="600" w:firstLineChars="200"/>
        <w:rPr>
          <w:rFonts w:ascii="仿宋_GB2312"/>
        </w:rPr>
      </w:pPr>
      <w:r>
        <w:rPr>
          <w:rFonts w:hint="eastAsia" w:ascii="仿宋_GB2312"/>
        </w:rPr>
        <w:t>本次评价对象为深圳市福田区国库支付中心2020年度信息系统维护项目，项目年度预算下达金额为</w:t>
      </w:r>
      <w:r>
        <w:rPr>
          <w:rFonts w:ascii="仿宋_GB2312"/>
        </w:rPr>
        <w:t>38</w:t>
      </w:r>
      <w:r>
        <w:rPr>
          <w:rFonts w:hint="eastAsia" w:ascii="仿宋_GB2312"/>
        </w:rPr>
        <w:t>万元。</w:t>
      </w:r>
    </w:p>
    <w:p>
      <w:pPr>
        <w:adjustRightInd w:val="0"/>
        <w:snapToGrid w:val="0"/>
        <w:spacing w:line="560" w:lineRule="exact"/>
        <w:ind w:firstLine="643" w:firstLineChars="200"/>
        <w:outlineLvl w:val="0"/>
        <w:rPr>
          <w:rFonts w:ascii="楷体_GB2312" w:eastAsia="楷体_GB2312" w:cs="楷体_GB2312"/>
          <w:b/>
          <w:bCs/>
          <w:sz w:val="32"/>
          <w:szCs w:val="32"/>
        </w:rPr>
      </w:pPr>
      <w:bookmarkStart w:id="6" w:name="_Toc82783077"/>
      <w:r>
        <w:rPr>
          <w:rFonts w:hint="eastAsia" w:ascii="楷体_GB2312" w:eastAsia="楷体_GB2312" w:cs="楷体_GB2312"/>
          <w:b/>
          <w:bCs/>
          <w:sz w:val="32"/>
          <w:szCs w:val="32"/>
        </w:rPr>
        <w:t>（二）绩效评价原则、评价指标体系（附表说明）、评价方法、评价标准等。</w:t>
      </w:r>
      <w:bookmarkEnd w:id="6"/>
    </w:p>
    <w:p>
      <w:pPr>
        <w:spacing w:line="560" w:lineRule="exact"/>
        <w:ind w:firstLine="640" w:firstLineChars="200"/>
        <w:rPr>
          <w:rFonts w:ascii="仿宋_GB2312"/>
          <w:sz w:val="32"/>
          <w:szCs w:val="32"/>
        </w:rPr>
      </w:pPr>
      <w:r>
        <w:rPr>
          <w:rFonts w:hint="eastAsia" w:ascii="仿宋_GB2312"/>
          <w:sz w:val="32"/>
          <w:szCs w:val="32"/>
        </w:rPr>
        <w:t>1</w:t>
      </w:r>
      <w:r>
        <w:rPr>
          <w:rFonts w:ascii="仿宋_GB2312"/>
          <w:sz w:val="32"/>
          <w:szCs w:val="32"/>
        </w:rPr>
        <w:t>.</w:t>
      </w:r>
      <w:r>
        <w:rPr>
          <w:rFonts w:hint="eastAsia" w:ascii="仿宋_GB2312"/>
          <w:sz w:val="32"/>
          <w:szCs w:val="32"/>
        </w:rPr>
        <w:t>评价原则</w:t>
      </w:r>
    </w:p>
    <w:p>
      <w:pPr>
        <w:spacing w:line="560" w:lineRule="exact"/>
        <w:ind w:firstLine="600" w:firstLineChars="200"/>
        <w:rPr>
          <w:rFonts w:ascii="仿宋_GB2312"/>
        </w:rPr>
      </w:pPr>
      <w:r>
        <w:rPr>
          <w:rFonts w:ascii="仿宋_GB2312"/>
        </w:rPr>
        <w:t>实事求是，客观公正，科学规范。</w:t>
      </w:r>
    </w:p>
    <w:p>
      <w:pPr>
        <w:spacing w:line="560" w:lineRule="exact"/>
        <w:ind w:firstLine="640" w:firstLineChars="200"/>
        <w:rPr>
          <w:rFonts w:ascii="仿宋_GB2312"/>
          <w:sz w:val="32"/>
          <w:szCs w:val="32"/>
        </w:rPr>
      </w:pPr>
      <w:r>
        <w:rPr>
          <w:rFonts w:hint="eastAsia" w:ascii="仿宋_GB2312"/>
          <w:sz w:val="32"/>
          <w:szCs w:val="32"/>
        </w:rPr>
        <w:t>2</w:t>
      </w:r>
      <w:r>
        <w:rPr>
          <w:rFonts w:ascii="仿宋_GB2312"/>
          <w:sz w:val="32"/>
          <w:szCs w:val="32"/>
        </w:rPr>
        <w:t>.</w:t>
      </w:r>
      <w:r>
        <w:rPr>
          <w:rFonts w:hint="eastAsia" w:ascii="仿宋_GB2312"/>
          <w:sz w:val="32"/>
          <w:szCs w:val="32"/>
        </w:rPr>
        <w:t>评价指标体系及评价标准</w:t>
      </w:r>
    </w:p>
    <w:p>
      <w:pPr>
        <w:spacing w:line="560" w:lineRule="exact"/>
        <w:ind w:firstLine="600" w:firstLineChars="200"/>
        <w:rPr>
          <w:rFonts w:ascii="仿宋_GB2312"/>
        </w:rPr>
      </w:pPr>
      <w:r>
        <w:rPr>
          <w:rFonts w:ascii="仿宋_GB2312"/>
        </w:rPr>
        <w:t>本次评价采用目标预定与实施效果比较、定性与定量综合分析、自评材料审核与实地访谈、核查相结合等方法，对项目决策、过程、产出和效益方面进行全面综合评价，确定了包括4项一级指标，10项二级指标，20项三级指标的评价指标体系。该指标体系采用百分制计分法，其中决策21分、过程19分、产出32分和效益28分（详见表1）。</w:t>
      </w:r>
    </w:p>
    <w:p>
      <w:pPr>
        <w:spacing w:line="560" w:lineRule="exact"/>
        <w:ind w:firstLine="600" w:firstLineChars="200"/>
        <w:rPr>
          <w:rFonts w:ascii="仿宋_GB2312"/>
        </w:rPr>
      </w:pPr>
      <w:r>
        <w:rPr>
          <w:rFonts w:hint="eastAsia" w:ascii="仿宋_GB2312"/>
        </w:rPr>
        <w:t>此次项目绩效评价结果采取评分和评级相结合的方式，总分一般设置为100分，等级划分为四档：90（含）-100分为优、80（含）-90分为良、60（含）-80分为中、60分以下为差。</w:t>
      </w:r>
    </w:p>
    <w:p>
      <w:pPr>
        <w:jc w:val="center"/>
        <w:rPr>
          <w:b/>
        </w:rPr>
      </w:pPr>
      <w:r>
        <w:rPr>
          <w:b/>
        </w:rPr>
        <w:t>表1项目绩效评价指标体系</w:t>
      </w:r>
    </w:p>
    <w:tbl>
      <w:tblPr>
        <w:tblStyle w:val="11"/>
        <w:tblW w:w="835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850"/>
        <w:gridCol w:w="1559"/>
        <w:gridCol w:w="709"/>
        <w:gridCol w:w="297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691" w:type="dxa"/>
            <w:gridSpan w:val="2"/>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一级指标</w:t>
            </w:r>
          </w:p>
        </w:tc>
        <w:tc>
          <w:tcPr>
            <w:tcW w:w="2268" w:type="dxa"/>
            <w:gridSpan w:val="2"/>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二级指标</w:t>
            </w:r>
          </w:p>
        </w:tc>
        <w:tc>
          <w:tcPr>
            <w:tcW w:w="4394" w:type="dxa"/>
            <w:gridSpan w:val="2"/>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841" w:type="dxa"/>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名称</w:t>
            </w:r>
          </w:p>
        </w:tc>
        <w:tc>
          <w:tcPr>
            <w:tcW w:w="850" w:type="dxa"/>
            <w:shd w:val="clear" w:color="auto" w:fill="auto"/>
            <w:noWrap/>
            <w:vAlign w:val="center"/>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权重</w:t>
            </w:r>
          </w:p>
        </w:tc>
        <w:tc>
          <w:tcPr>
            <w:tcW w:w="1559" w:type="dxa"/>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名称</w:t>
            </w:r>
          </w:p>
        </w:tc>
        <w:tc>
          <w:tcPr>
            <w:tcW w:w="709" w:type="dxa"/>
            <w:shd w:val="clear" w:color="auto" w:fill="auto"/>
            <w:noWrap/>
            <w:vAlign w:val="center"/>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权重</w:t>
            </w:r>
          </w:p>
        </w:tc>
        <w:tc>
          <w:tcPr>
            <w:tcW w:w="2977" w:type="dxa"/>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名称</w:t>
            </w:r>
          </w:p>
        </w:tc>
        <w:tc>
          <w:tcPr>
            <w:tcW w:w="1417" w:type="dxa"/>
            <w:shd w:val="clear" w:color="auto" w:fill="auto"/>
            <w:noWrap/>
            <w:vAlign w:val="center"/>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决策</w:t>
            </w:r>
          </w:p>
        </w:tc>
        <w:tc>
          <w:tcPr>
            <w:tcW w:w="850"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21</w:t>
            </w:r>
          </w:p>
        </w:tc>
        <w:tc>
          <w:tcPr>
            <w:tcW w:w="155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项目立项</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8</w:t>
            </w: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立项依据充分性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立项程序规范性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绩效目标</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7</w:t>
            </w: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绩效目标合理性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绩效指标明确性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资金投入</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预算编制科学性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资金分配合理性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过程</w:t>
            </w:r>
          </w:p>
        </w:tc>
        <w:tc>
          <w:tcPr>
            <w:tcW w:w="850"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19</w:t>
            </w:r>
          </w:p>
        </w:tc>
        <w:tc>
          <w:tcPr>
            <w:tcW w:w="155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资金管理</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11</w:t>
            </w: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资金到位率</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预算执行率</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资金使用合规性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组织实施</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8</w:t>
            </w: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管理制度健全性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制度执行有效性</w:t>
            </w:r>
          </w:p>
        </w:tc>
        <w:tc>
          <w:tcPr>
            <w:tcW w:w="1417"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1"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w:t>
            </w:r>
          </w:p>
        </w:tc>
        <w:tc>
          <w:tcPr>
            <w:tcW w:w="850"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32</w:t>
            </w:r>
          </w:p>
        </w:tc>
        <w:tc>
          <w:tcPr>
            <w:tcW w:w="155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产出数量</w:t>
            </w:r>
          </w:p>
        </w:tc>
        <w:tc>
          <w:tcPr>
            <w:tcW w:w="70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10</w:t>
            </w: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系统维护数量</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产出质量</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10</w:t>
            </w: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系统验收合格率</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故障排除率</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产出时效</w:t>
            </w:r>
          </w:p>
        </w:tc>
        <w:tc>
          <w:tcPr>
            <w:tcW w:w="70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故障修复时效</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产出成本</w:t>
            </w:r>
          </w:p>
        </w:tc>
        <w:tc>
          <w:tcPr>
            <w:tcW w:w="70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成本节约率</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1"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效益</w:t>
            </w:r>
          </w:p>
        </w:tc>
        <w:tc>
          <w:tcPr>
            <w:tcW w:w="850"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28</w:t>
            </w:r>
          </w:p>
        </w:tc>
        <w:tc>
          <w:tcPr>
            <w:tcW w:w="155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项目效益</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28</w:t>
            </w: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财政资金保障能力</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财政风险管控能力</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支撑新政府会计制度改革</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559"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977"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使用人员满意度</w:t>
            </w: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41"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总分</w:t>
            </w:r>
          </w:p>
        </w:tc>
        <w:tc>
          <w:tcPr>
            <w:tcW w:w="850"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100</w:t>
            </w:r>
          </w:p>
        </w:tc>
        <w:tc>
          <w:tcPr>
            <w:tcW w:w="1559" w:type="dxa"/>
            <w:shd w:val="clear" w:color="auto" w:fill="auto"/>
            <w:noWrap/>
            <w:vAlign w:val="center"/>
          </w:tcPr>
          <w:p>
            <w:pPr>
              <w:widowControl/>
              <w:jc w:val="center"/>
              <w:rPr>
                <w:rFonts w:ascii="仿宋_GB2312" w:hAnsi="宋体" w:cs="宋体"/>
                <w:color w:val="000000"/>
                <w:kern w:val="0"/>
                <w:sz w:val="24"/>
              </w:rPr>
            </w:pPr>
          </w:p>
        </w:tc>
        <w:tc>
          <w:tcPr>
            <w:tcW w:w="709"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100</w:t>
            </w:r>
          </w:p>
        </w:tc>
        <w:tc>
          <w:tcPr>
            <w:tcW w:w="2977" w:type="dxa"/>
            <w:shd w:val="clear" w:color="auto" w:fill="auto"/>
            <w:noWrap/>
            <w:vAlign w:val="center"/>
          </w:tcPr>
          <w:p>
            <w:pPr>
              <w:widowControl/>
              <w:jc w:val="center"/>
              <w:rPr>
                <w:rFonts w:ascii="仿宋_GB2312" w:hAnsi="宋体" w:cs="宋体"/>
                <w:color w:val="000000"/>
                <w:kern w:val="0"/>
                <w:sz w:val="24"/>
              </w:rPr>
            </w:pPr>
          </w:p>
        </w:tc>
        <w:tc>
          <w:tcPr>
            <w:tcW w:w="1417"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100</w:t>
            </w:r>
          </w:p>
        </w:tc>
      </w:tr>
    </w:tbl>
    <w:p>
      <w:pPr>
        <w:spacing w:line="560" w:lineRule="exact"/>
        <w:ind w:firstLine="640" w:firstLineChars="200"/>
        <w:rPr>
          <w:rFonts w:ascii="仿宋_GB2312"/>
          <w:sz w:val="32"/>
          <w:szCs w:val="32"/>
        </w:rPr>
      </w:pPr>
      <w:r>
        <w:rPr>
          <w:rFonts w:ascii="仿宋_GB2312"/>
          <w:sz w:val="32"/>
          <w:szCs w:val="32"/>
        </w:rPr>
        <w:t>3.</w:t>
      </w:r>
      <w:r>
        <w:rPr>
          <w:rFonts w:hint="eastAsia" w:ascii="仿宋_GB2312"/>
          <w:sz w:val="32"/>
          <w:szCs w:val="32"/>
        </w:rPr>
        <w:t>评价方法</w:t>
      </w:r>
    </w:p>
    <w:p>
      <w:pPr>
        <w:spacing w:line="560" w:lineRule="exact"/>
        <w:ind w:firstLine="600" w:firstLineChars="200"/>
        <w:rPr>
          <w:rFonts w:ascii="仿宋_GB2312"/>
        </w:rPr>
      </w:pPr>
      <w:r>
        <w:rPr>
          <w:rFonts w:ascii="仿宋_GB2312"/>
        </w:rPr>
        <w:t>为使评价结论科学合理、客观公正，评价方法主要采用成本效益分析法、目标结果比较法、因素分析法、公众评判法、穿行测试法等多种方法（详见表2）；评价指标分析主要采用定量指标分析，并辅以部分定性分析。</w:t>
      </w:r>
    </w:p>
    <w:p>
      <w:pPr>
        <w:jc w:val="center"/>
        <w:rPr>
          <w:b/>
          <w:szCs w:val="30"/>
        </w:rPr>
      </w:pPr>
      <w:r>
        <w:rPr>
          <w:b/>
          <w:szCs w:val="30"/>
        </w:rPr>
        <w:t>表2 主要评价方法</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930"/>
        <w:gridCol w:w="5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vAlign w:val="center"/>
          </w:tcPr>
          <w:p>
            <w:pPr>
              <w:pStyle w:val="21"/>
              <w:jc w:val="center"/>
              <w:rPr>
                <w:rFonts w:cs="Times New Roman"/>
                <w:b/>
                <w:lang w:val="zh-CN"/>
              </w:rPr>
            </w:pPr>
            <w:r>
              <w:rPr>
                <w:rFonts w:cs="Times New Roman"/>
                <w:b/>
                <w:lang w:val="zh-CN"/>
              </w:rPr>
              <w:t>序号</w:t>
            </w:r>
          </w:p>
        </w:tc>
        <w:tc>
          <w:tcPr>
            <w:tcW w:w="1930" w:type="dxa"/>
            <w:vAlign w:val="center"/>
          </w:tcPr>
          <w:p>
            <w:pPr>
              <w:pStyle w:val="21"/>
              <w:jc w:val="center"/>
              <w:rPr>
                <w:rFonts w:cs="Times New Roman"/>
                <w:b/>
                <w:lang w:val="zh-CN"/>
              </w:rPr>
            </w:pPr>
            <w:r>
              <w:rPr>
                <w:rFonts w:cs="Times New Roman"/>
                <w:b/>
                <w:lang w:val="zh-CN"/>
              </w:rPr>
              <w:t>评价方法</w:t>
            </w:r>
          </w:p>
        </w:tc>
        <w:tc>
          <w:tcPr>
            <w:tcW w:w="5818" w:type="dxa"/>
            <w:vAlign w:val="center"/>
          </w:tcPr>
          <w:p>
            <w:pPr>
              <w:pStyle w:val="21"/>
              <w:jc w:val="center"/>
              <w:rPr>
                <w:rFonts w:cs="Times New Roman"/>
                <w:b/>
                <w:lang w:val="zh-CN"/>
              </w:rPr>
            </w:pPr>
            <w:r>
              <w:rPr>
                <w:rFonts w:cs="Times New Roman"/>
                <w:b/>
                <w:lang w:val="zh-CN"/>
              </w:rPr>
              <w:t>方法说明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pStyle w:val="21"/>
              <w:jc w:val="center"/>
              <w:rPr>
                <w:rFonts w:cs="Times New Roman"/>
                <w:b/>
                <w:lang w:val="zh-CN"/>
              </w:rPr>
            </w:pPr>
            <w:r>
              <w:rPr>
                <w:rFonts w:cs="Times New Roman"/>
                <w:lang w:val="zh-CN"/>
              </w:rPr>
              <w:t>1</w:t>
            </w:r>
          </w:p>
        </w:tc>
        <w:tc>
          <w:tcPr>
            <w:tcW w:w="1930" w:type="dxa"/>
            <w:vAlign w:val="center"/>
          </w:tcPr>
          <w:p>
            <w:pPr>
              <w:pStyle w:val="21"/>
              <w:rPr>
                <w:rFonts w:cs="Times New Roman"/>
                <w:lang w:val="zh-CN"/>
              </w:rPr>
            </w:pPr>
            <w:r>
              <w:rPr>
                <w:rFonts w:cs="Times New Roman"/>
                <w:lang w:val="zh-CN"/>
              </w:rPr>
              <w:t>成本效益分析法</w:t>
            </w:r>
          </w:p>
        </w:tc>
        <w:tc>
          <w:tcPr>
            <w:tcW w:w="5818" w:type="dxa"/>
            <w:vAlign w:val="center"/>
          </w:tcPr>
          <w:p>
            <w:pPr>
              <w:pStyle w:val="21"/>
              <w:rPr>
                <w:rFonts w:cs="Times New Roman"/>
                <w:lang w:val="zh-CN"/>
              </w:rPr>
            </w:pPr>
            <w:r>
              <w:rPr>
                <w:rFonts w:cs="Times New Roman"/>
                <w:lang w:val="zh-CN"/>
              </w:rPr>
              <w:t>将一定时期内的支出与效益进行对比分析以评价绩效目标实现程度，适用于成本、效益都能准确计量的项目绩效评价。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pStyle w:val="21"/>
              <w:jc w:val="center"/>
              <w:rPr>
                <w:rFonts w:cs="Times New Roman"/>
                <w:b/>
                <w:lang w:val="zh-CN"/>
              </w:rPr>
            </w:pPr>
            <w:r>
              <w:rPr>
                <w:rFonts w:cs="Times New Roman"/>
                <w:lang w:val="zh-CN"/>
              </w:rPr>
              <w:t>2</w:t>
            </w:r>
          </w:p>
        </w:tc>
        <w:tc>
          <w:tcPr>
            <w:tcW w:w="1930" w:type="dxa"/>
            <w:vAlign w:val="center"/>
          </w:tcPr>
          <w:p>
            <w:pPr>
              <w:pStyle w:val="21"/>
              <w:rPr>
                <w:rFonts w:cs="Times New Roman"/>
                <w:lang w:val="zh-CN"/>
              </w:rPr>
            </w:pPr>
            <w:r>
              <w:rPr>
                <w:rFonts w:cs="Times New Roman"/>
                <w:lang w:val="zh-CN"/>
              </w:rPr>
              <w:t>目标结果比较法</w:t>
            </w:r>
          </w:p>
        </w:tc>
        <w:tc>
          <w:tcPr>
            <w:tcW w:w="5818" w:type="dxa"/>
            <w:vAlign w:val="center"/>
          </w:tcPr>
          <w:p>
            <w:pPr>
              <w:pStyle w:val="21"/>
              <w:rPr>
                <w:rFonts w:cs="Times New Roman"/>
                <w:lang w:val="zh-CN"/>
              </w:rPr>
            </w:pPr>
            <w:r>
              <w:rPr>
                <w:rFonts w:cs="Times New Roman"/>
                <w:lang w:val="zh-CN"/>
              </w:rPr>
              <w:t>通过对绩效目标与实施效果、历史与当期情况、同部门和地区同类支出的比较，综合分析绩效目标实现程度。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pStyle w:val="21"/>
              <w:jc w:val="center"/>
              <w:rPr>
                <w:rFonts w:cs="Times New Roman"/>
                <w:b/>
                <w:lang w:val="zh-CN"/>
              </w:rPr>
            </w:pPr>
            <w:r>
              <w:rPr>
                <w:rFonts w:cs="Times New Roman"/>
                <w:lang w:val="zh-CN"/>
              </w:rPr>
              <w:t>3</w:t>
            </w:r>
          </w:p>
        </w:tc>
        <w:tc>
          <w:tcPr>
            <w:tcW w:w="1930" w:type="dxa"/>
            <w:vAlign w:val="center"/>
          </w:tcPr>
          <w:p>
            <w:pPr>
              <w:pStyle w:val="21"/>
              <w:rPr>
                <w:rFonts w:cs="Times New Roman"/>
                <w:lang w:val="zh-CN"/>
              </w:rPr>
            </w:pPr>
            <w:r>
              <w:rPr>
                <w:rFonts w:cs="Times New Roman"/>
                <w:lang w:val="zh-CN"/>
              </w:rPr>
              <w:t>因素分析法</w:t>
            </w:r>
          </w:p>
        </w:tc>
        <w:tc>
          <w:tcPr>
            <w:tcW w:w="5818" w:type="dxa"/>
            <w:vAlign w:val="center"/>
          </w:tcPr>
          <w:p>
            <w:pPr>
              <w:pStyle w:val="21"/>
              <w:rPr>
                <w:rFonts w:cs="Times New Roman"/>
                <w:lang w:val="zh-CN"/>
              </w:rPr>
            </w:pPr>
            <w:r>
              <w:rPr>
                <w:rFonts w:cs="Times New Roman"/>
                <w:lang w:val="zh-CN"/>
              </w:rPr>
              <w:t>通过综合分析影响绩效目标实现、实施效果的内外因素，评价绩效目标实现程度。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pStyle w:val="21"/>
              <w:jc w:val="center"/>
              <w:rPr>
                <w:rFonts w:cs="Times New Roman"/>
                <w:b/>
                <w:lang w:val="zh-CN"/>
              </w:rPr>
            </w:pPr>
            <w:r>
              <w:rPr>
                <w:rFonts w:cs="Times New Roman"/>
                <w:lang w:val="zh-CN"/>
              </w:rPr>
              <w:t>4</w:t>
            </w:r>
          </w:p>
        </w:tc>
        <w:tc>
          <w:tcPr>
            <w:tcW w:w="1930" w:type="dxa"/>
            <w:vAlign w:val="center"/>
          </w:tcPr>
          <w:p>
            <w:pPr>
              <w:pStyle w:val="21"/>
              <w:rPr>
                <w:rFonts w:cs="Times New Roman"/>
                <w:lang w:val="zh-CN"/>
              </w:rPr>
            </w:pPr>
            <w:r>
              <w:rPr>
                <w:rFonts w:cs="Times New Roman"/>
                <w:lang w:val="zh-CN"/>
              </w:rPr>
              <w:t>公众评判法</w:t>
            </w:r>
          </w:p>
        </w:tc>
        <w:tc>
          <w:tcPr>
            <w:tcW w:w="5818" w:type="dxa"/>
            <w:vAlign w:val="center"/>
          </w:tcPr>
          <w:p>
            <w:pPr>
              <w:pStyle w:val="21"/>
              <w:rPr>
                <w:rFonts w:cs="Times New Roman"/>
                <w:lang w:val="zh-CN"/>
              </w:rPr>
            </w:pPr>
            <w:r>
              <w:rPr>
                <w:rFonts w:cs="Times New Roman"/>
                <w:lang w:val="zh-CN"/>
              </w:rPr>
              <w:t>通过项目组或专家评估、公众问卷及抽样调查等对财政支出效果进行评判，评价绩效目标实现程度。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4" w:type="dxa"/>
            <w:vAlign w:val="center"/>
          </w:tcPr>
          <w:p>
            <w:pPr>
              <w:pStyle w:val="21"/>
              <w:jc w:val="center"/>
              <w:rPr>
                <w:rFonts w:cs="Times New Roman"/>
                <w:b/>
                <w:lang w:val="zh-CN"/>
              </w:rPr>
            </w:pPr>
            <w:r>
              <w:rPr>
                <w:rFonts w:cs="Times New Roman"/>
                <w:lang w:val="zh-CN"/>
              </w:rPr>
              <w:t>5</w:t>
            </w:r>
          </w:p>
        </w:tc>
        <w:tc>
          <w:tcPr>
            <w:tcW w:w="1930" w:type="dxa"/>
            <w:vAlign w:val="center"/>
          </w:tcPr>
          <w:p>
            <w:pPr>
              <w:pStyle w:val="21"/>
              <w:rPr>
                <w:rFonts w:cs="Times New Roman"/>
                <w:lang w:val="zh-CN"/>
              </w:rPr>
            </w:pPr>
            <w:r>
              <w:rPr>
                <w:rFonts w:cs="Times New Roman"/>
                <w:lang w:val="zh-CN"/>
              </w:rPr>
              <w:t>穿行测试法</w:t>
            </w:r>
          </w:p>
        </w:tc>
        <w:tc>
          <w:tcPr>
            <w:tcW w:w="5818" w:type="dxa"/>
            <w:vAlign w:val="center"/>
          </w:tcPr>
          <w:p>
            <w:pPr>
              <w:pStyle w:val="21"/>
              <w:rPr>
                <w:rFonts w:cs="Times New Roman"/>
              </w:rPr>
            </w:pPr>
            <w:r>
              <w:rPr>
                <w:rFonts w:cs="Times New Roman"/>
              </w:rPr>
              <w:t>通过追踪项目实施内容在财务信息中的处理过程，采用询问、观察、检查等方式以确定是否与初始认知一致，了解项目的真实情况，评价前期投入及过程管理的规范性。</w:t>
            </w:r>
          </w:p>
        </w:tc>
      </w:tr>
    </w:tbl>
    <w:p>
      <w:pPr>
        <w:adjustRightInd w:val="0"/>
        <w:snapToGrid w:val="0"/>
        <w:spacing w:line="560" w:lineRule="exact"/>
        <w:ind w:firstLine="643" w:firstLineChars="200"/>
        <w:outlineLvl w:val="0"/>
        <w:rPr>
          <w:rFonts w:ascii="楷体_GB2312" w:eastAsia="楷体_GB2312" w:cs="楷体_GB2312"/>
          <w:b/>
          <w:bCs/>
          <w:sz w:val="32"/>
          <w:szCs w:val="32"/>
        </w:rPr>
      </w:pPr>
      <w:bookmarkStart w:id="7" w:name="_Toc82783078"/>
      <w:r>
        <w:rPr>
          <w:rFonts w:hint="eastAsia" w:ascii="楷体_GB2312" w:eastAsia="楷体_GB2312" w:cs="楷体_GB2312"/>
          <w:b/>
          <w:bCs/>
          <w:sz w:val="32"/>
          <w:szCs w:val="32"/>
        </w:rPr>
        <w:t>（三）绩效评价工作过程。</w:t>
      </w:r>
      <w:bookmarkEnd w:id="7"/>
    </w:p>
    <w:p>
      <w:pPr>
        <w:spacing w:line="560" w:lineRule="exact"/>
        <w:ind w:firstLine="640" w:firstLineChars="200"/>
        <w:rPr>
          <w:rFonts w:ascii="仿宋_GB2312"/>
          <w:sz w:val="32"/>
          <w:szCs w:val="32"/>
        </w:rPr>
      </w:pPr>
      <w:r>
        <w:rPr>
          <w:rFonts w:hint="eastAsia" w:ascii="仿宋_GB2312"/>
          <w:sz w:val="32"/>
          <w:szCs w:val="32"/>
        </w:rPr>
        <w:t>1.前期准备阶段</w:t>
      </w:r>
    </w:p>
    <w:p>
      <w:pPr>
        <w:spacing w:line="560" w:lineRule="exact"/>
        <w:ind w:firstLine="600" w:firstLineChars="200"/>
        <w:rPr>
          <w:rFonts w:ascii="仿宋_GB2312"/>
        </w:rPr>
      </w:pPr>
      <w:r>
        <w:rPr>
          <w:rFonts w:hint="eastAsia" w:ascii="仿宋_GB2312"/>
        </w:rPr>
        <w:t>本次绩效评价工作于202</w:t>
      </w:r>
      <w:r>
        <w:rPr>
          <w:rFonts w:ascii="仿宋_GB2312"/>
        </w:rPr>
        <w:t>1</w:t>
      </w:r>
      <w:r>
        <w:rPr>
          <w:rFonts w:hint="eastAsia" w:ascii="仿宋_GB2312"/>
        </w:rPr>
        <w:t>年</w:t>
      </w:r>
      <w:r>
        <w:rPr>
          <w:rFonts w:ascii="仿宋_GB2312"/>
        </w:rPr>
        <w:t>6</w:t>
      </w:r>
      <w:r>
        <w:rPr>
          <w:rFonts w:hint="eastAsia" w:ascii="仿宋_GB2312"/>
        </w:rPr>
        <w:t>月启动，由中心办公室牵头，组成评价小组，具体负责开展20</w:t>
      </w:r>
      <w:r>
        <w:rPr>
          <w:rFonts w:ascii="仿宋_GB2312"/>
        </w:rPr>
        <w:t>20</w:t>
      </w:r>
      <w:r>
        <w:rPr>
          <w:rFonts w:hint="eastAsia" w:ascii="仿宋_GB2312"/>
        </w:rPr>
        <w:t>年度信息系统维护项目绩效评价工作。评价小组对项目进行必要的研究和分析，初步掌握预期目标和特点，并在此基础上设置和完善资料清单、访谈提纲及调研计划等，为项目后续开展做好充分准备。</w:t>
      </w:r>
    </w:p>
    <w:p>
      <w:pPr>
        <w:spacing w:line="560" w:lineRule="exact"/>
        <w:ind w:firstLine="640" w:firstLineChars="200"/>
        <w:rPr>
          <w:rFonts w:ascii="仿宋_GB2312"/>
          <w:sz w:val="32"/>
          <w:szCs w:val="32"/>
        </w:rPr>
      </w:pPr>
      <w:r>
        <w:rPr>
          <w:rFonts w:ascii="仿宋_GB2312"/>
          <w:sz w:val="32"/>
          <w:szCs w:val="32"/>
        </w:rPr>
        <w:t>2.</w:t>
      </w:r>
      <w:r>
        <w:rPr>
          <w:rFonts w:hint="eastAsia" w:ascii="仿宋_GB2312"/>
          <w:sz w:val="32"/>
          <w:szCs w:val="32"/>
        </w:rPr>
        <w:t>组织实施阶段</w:t>
      </w:r>
    </w:p>
    <w:p>
      <w:pPr>
        <w:ind w:firstLine="640"/>
        <w:rPr>
          <w:rFonts w:ascii="仿宋_GB2312" w:hAnsi="仿宋_GB2312"/>
        </w:rPr>
      </w:pPr>
      <w:r>
        <w:rPr>
          <w:rFonts w:hint="eastAsia" w:ascii="仿宋_GB2312" w:hAnsi="仿宋_GB2312"/>
        </w:rPr>
        <w:t>（1）资料收集与调研</w:t>
      </w:r>
    </w:p>
    <w:p>
      <w:pPr>
        <w:spacing w:line="560" w:lineRule="exact"/>
        <w:ind w:firstLine="600" w:firstLineChars="200"/>
        <w:rPr>
          <w:rFonts w:ascii="仿宋_GB2312"/>
        </w:rPr>
      </w:pPr>
      <w:r>
        <w:rPr>
          <w:rFonts w:hint="eastAsia" w:ascii="仿宋_GB2312"/>
        </w:rPr>
        <w:t>评价小组通过内外部政策文件、制度条文的收集整理及分析，初步拟定项目资料收集清单，由相关涉及部门准备并提供评价所需资料。</w:t>
      </w:r>
    </w:p>
    <w:p>
      <w:pPr>
        <w:spacing w:line="560" w:lineRule="exact"/>
        <w:ind w:firstLine="600" w:firstLineChars="200"/>
        <w:rPr>
          <w:rFonts w:ascii="仿宋_GB2312"/>
        </w:rPr>
      </w:pPr>
      <w:r>
        <w:rPr>
          <w:rFonts w:hint="eastAsia" w:ascii="仿宋_GB2312"/>
        </w:rPr>
        <w:t>评价小组通过资料现场查阅、关键人员访谈等方式，开展凭证抽查与访谈调研工作，进一步了解项目工作具体过程及资金发放情况。</w:t>
      </w:r>
    </w:p>
    <w:p>
      <w:pPr>
        <w:ind w:firstLine="640"/>
        <w:rPr>
          <w:rFonts w:ascii="仿宋_GB2312" w:hAnsi="仿宋_GB2312"/>
        </w:rPr>
      </w:pPr>
      <w:r>
        <w:rPr>
          <w:rFonts w:hint="eastAsia" w:ascii="仿宋_GB2312" w:hAnsi="仿宋_GB2312"/>
        </w:rPr>
        <w:t>（2）绩效评价指标设计</w:t>
      </w:r>
    </w:p>
    <w:p>
      <w:pPr>
        <w:spacing w:line="560" w:lineRule="exact"/>
        <w:ind w:firstLine="600" w:firstLineChars="200"/>
        <w:rPr>
          <w:rFonts w:ascii="仿宋_GB2312"/>
        </w:rPr>
      </w:pPr>
      <w:r>
        <w:rPr>
          <w:rFonts w:hint="eastAsia" w:ascii="仿宋_GB2312"/>
        </w:rPr>
        <w:t>评价小组根据区财政局有关政策文件要求及制度规定，结合项目绩效目标、实际工作情况，依托数据分析及现场调研结果，充分考虑项目实际特点设计项目绩效评价指标体系，明确指标评价内容及评价标准。</w:t>
      </w:r>
    </w:p>
    <w:p>
      <w:pPr>
        <w:ind w:firstLine="640"/>
        <w:rPr>
          <w:rFonts w:ascii="仿宋_GB2312" w:hAnsi="仿宋_GB2312"/>
        </w:rPr>
      </w:pPr>
      <w:r>
        <w:rPr>
          <w:rFonts w:hint="eastAsia" w:ascii="仿宋_GB2312" w:hAnsi="仿宋_GB2312"/>
        </w:rPr>
        <w:t>（3）绩效评分</w:t>
      </w:r>
    </w:p>
    <w:p>
      <w:pPr>
        <w:spacing w:line="560" w:lineRule="exact"/>
        <w:ind w:firstLine="600" w:firstLineChars="200"/>
        <w:rPr>
          <w:rFonts w:ascii="仿宋_GB2312"/>
        </w:rPr>
      </w:pPr>
      <w:r>
        <w:rPr>
          <w:rFonts w:hint="eastAsia" w:ascii="仿宋_GB2312"/>
        </w:rPr>
        <w:t>评价小组根据项目调研情况，根据绩效评价指标体系对项目进行初步评分。</w:t>
      </w:r>
    </w:p>
    <w:p>
      <w:pPr>
        <w:spacing w:line="560" w:lineRule="exact"/>
        <w:ind w:firstLine="640" w:firstLineChars="200"/>
        <w:rPr>
          <w:rFonts w:ascii="仿宋_GB2312"/>
          <w:sz w:val="32"/>
          <w:szCs w:val="32"/>
        </w:rPr>
      </w:pPr>
      <w:r>
        <w:rPr>
          <w:rFonts w:ascii="仿宋_GB2312"/>
          <w:sz w:val="32"/>
          <w:szCs w:val="32"/>
        </w:rPr>
        <w:t>3.</w:t>
      </w:r>
      <w:r>
        <w:rPr>
          <w:rFonts w:hint="eastAsia" w:ascii="仿宋_GB2312"/>
          <w:sz w:val="32"/>
          <w:szCs w:val="32"/>
        </w:rPr>
        <w:t>报告出具阶段</w:t>
      </w:r>
    </w:p>
    <w:p>
      <w:pPr>
        <w:spacing w:line="560" w:lineRule="exact"/>
        <w:ind w:firstLine="600" w:firstLineChars="200"/>
        <w:rPr>
          <w:rFonts w:ascii="仿宋_GB2312"/>
        </w:rPr>
      </w:pPr>
      <w:r>
        <w:rPr>
          <w:rFonts w:hint="eastAsia" w:ascii="仿宋_GB2312"/>
        </w:rPr>
        <w:t>评价小组根据项目评估情况，对绩效目标、项目执行情况、项目效益、存在问题等进行客观阐述和分析，并提出下一步工作建议，在此基础上形成项目绩效评价报告初稿，征求中心领导意见后，修改完善形成正式的绩效评价报告。</w:t>
      </w:r>
    </w:p>
    <w:p>
      <w:pPr>
        <w:spacing w:line="600" w:lineRule="exact"/>
        <w:ind w:firstLine="643" w:firstLineChars="200"/>
        <w:outlineLvl w:val="0"/>
        <w:rPr>
          <w:rFonts w:ascii="黑体" w:hAnsi="黑体" w:eastAsia="黑体"/>
          <w:b/>
          <w:bCs/>
          <w:sz w:val="32"/>
          <w:szCs w:val="32"/>
        </w:rPr>
      </w:pPr>
      <w:bookmarkStart w:id="8" w:name="_Toc82783079"/>
      <w:r>
        <w:rPr>
          <w:rFonts w:hint="eastAsia" w:ascii="黑体" w:hAnsi="黑体" w:eastAsia="黑体"/>
          <w:b/>
          <w:bCs/>
          <w:sz w:val="32"/>
          <w:szCs w:val="32"/>
        </w:rPr>
        <w:t>三、综合评价情况及评价结论</w:t>
      </w:r>
      <w:bookmarkEnd w:id="8"/>
    </w:p>
    <w:p>
      <w:pPr>
        <w:spacing w:line="560" w:lineRule="exact"/>
        <w:ind w:firstLine="600" w:firstLineChars="200"/>
        <w:rPr>
          <w:rFonts w:ascii="仿宋_GB2312"/>
        </w:rPr>
      </w:pPr>
      <w:r>
        <w:rPr>
          <w:rFonts w:ascii="仿宋_GB2312"/>
        </w:rPr>
        <w:t>2020</w:t>
      </w:r>
      <w:r>
        <w:rPr>
          <w:rFonts w:hint="eastAsia" w:ascii="仿宋_GB2312"/>
        </w:rPr>
        <w:t>年度信息系统维护最终评分结果</w:t>
      </w:r>
      <w:r>
        <w:rPr>
          <w:rFonts w:ascii="仿宋_GB2312"/>
        </w:rPr>
        <w:t>95.59</w:t>
      </w:r>
      <w:r>
        <w:rPr>
          <w:rFonts w:hint="eastAsia" w:ascii="仿宋_GB2312"/>
        </w:rPr>
        <w:t>分，评价结果为优。此次信息系统项目中项目立项、资金投入、产出效果方面得分较好，主要扣分项体现在绩效目标、组织实施、满意度</w:t>
      </w:r>
      <w:r>
        <w:rPr>
          <w:rFonts w:ascii="仿宋_GB2312"/>
        </w:rPr>
        <w:t>3</w:t>
      </w:r>
      <w:r>
        <w:rPr>
          <w:rFonts w:hint="eastAsia" w:ascii="仿宋_GB2312"/>
        </w:rPr>
        <w:t>个方面。具体得分情况见表3。</w:t>
      </w:r>
    </w:p>
    <w:p>
      <w:pPr>
        <w:widowControl/>
        <w:jc w:val="center"/>
        <w:rPr>
          <w:rFonts w:eastAsia="黑体"/>
          <w:b/>
          <w:bCs/>
          <w:color w:val="000000"/>
          <w:kern w:val="0"/>
          <w:sz w:val="24"/>
          <w:shd w:val="clear" w:color="auto" w:fill="FFFFFF"/>
        </w:rPr>
      </w:pPr>
      <w:r>
        <w:rPr>
          <w:rFonts w:hint="eastAsia" w:ascii="黑体" w:hAnsi="黑体" w:eastAsia="黑体" w:cs="黑体"/>
          <w:color w:val="000000"/>
          <w:kern w:val="0"/>
          <w:sz w:val="28"/>
          <w:szCs w:val="28"/>
          <w:shd w:val="clear" w:color="auto" w:fill="FFFFFF"/>
        </w:rPr>
        <w:t>表</w:t>
      </w:r>
      <w:r>
        <w:rPr>
          <w:rFonts w:ascii="黑体" w:hAnsi="黑体" w:eastAsia="黑体" w:cs="黑体"/>
          <w:color w:val="000000"/>
          <w:kern w:val="0"/>
          <w:sz w:val="28"/>
          <w:szCs w:val="28"/>
          <w:shd w:val="clear" w:color="auto" w:fill="FFFFFF"/>
        </w:rPr>
        <w:t>3</w:t>
      </w:r>
      <w:r>
        <w:rPr>
          <w:rFonts w:hint="eastAsia" w:ascii="黑体" w:hAnsi="黑体" w:eastAsia="黑体" w:cs="黑体"/>
          <w:color w:val="000000"/>
          <w:kern w:val="0"/>
          <w:sz w:val="28"/>
          <w:szCs w:val="28"/>
          <w:shd w:val="clear" w:color="auto" w:fill="FFFFFF"/>
        </w:rPr>
        <w:t xml:space="preserve"> 20</w:t>
      </w:r>
      <w:r>
        <w:rPr>
          <w:rFonts w:ascii="黑体" w:hAnsi="黑体" w:eastAsia="黑体" w:cs="黑体"/>
          <w:color w:val="000000"/>
          <w:kern w:val="0"/>
          <w:sz w:val="28"/>
          <w:szCs w:val="28"/>
          <w:shd w:val="clear" w:color="auto" w:fill="FFFFFF"/>
        </w:rPr>
        <w:t>20</w:t>
      </w:r>
      <w:r>
        <w:rPr>
          <w:rFonts w:hint="eastAsia" w:ascii="黑体" w:hAnsi="黑体" w:eastAsia="黑体" w:cs="黑体"/>
          <w:color w:val="000000"/>
          <w:kern w:val="0"/>
          <w:sz w:val="28"/>
          <w:szCs w:val="28"/>
          <w:shd w:val="clear" w:color="auto" w:fill="FFFFFF"/>
        </w:rPr>
        <w:t>年度信息系统维护项目绩效评分简表</w:t>
      </w:r>
    </w:p>
    <w:tbl>
      <w:tblPr>
        <w:tblStyle w:val="11"/>
        <w:tblW w:w="807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850"/>
        <w:gridCol w:w="1276"/>
        <w:gridCol w:w="709"/>
        <w:gridCol w:w="2268"/>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691" w:type="dxa"/>
            <w:gridSpan w:val="2"/>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一级指标</w:t>
            </w:r>
          </w:p>
        </w:tc>
        <w:tc>
          <w:tcPr>
            <w:tcW w:w="1985" w:type="dxa"/>
            <w:gridSpan w:val="2"/>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二级指标</w:t>
            </w:r>
          </w:p>
        </w:tc>
        <w:tc>
          <w:tcPr>
            <w:tcW w:w="4394" w:type="dxa"/>
            <w:gridSpan w:val="3"/>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841" w:type="dxa"/>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名称</w:t>
            </w:r>
          </w:p>
        </w:tc>
        <w:tc>
          <w:tcPr>
            <w:tcW w:w="850" w:type="dxa"/>
            <w:shd w:val="clear" w:color="auto" w:fill="auto"/>
            <w:noWrap/>
            <w:vAlign w:val="center"/>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分值</w:t>
            </w:r>
          </w:p>
        </w:tc>
        <w:tc>
          <w:tcPr>
            <w:tcW w:w="1276" w:type="dxa"/>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名称</w:t>
            </w:r>
          </w:p>
        </w:tc>
        <w:tc>
          <w:tcPr>
            <w:tcW w:w="709" w:type="dxa"/>
            <w:shd w:val="clear" w:color="auto" w:fill="auto"/>
            <w:noWrap/>
            <w:vAlign w:val="center"/>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分值</w:t>
            </w:r>
          </w:p>
        </w:tc>
        <w:tc>
          <w:tcPr>
            <w:tcW w:w="2268" w:type="dxa"/>
            <w:shd w:val="clear" w:color="auto" w:fill="auto"/>
            <w:noWrap/>
            <w:vAlign w:val="center"/>
          </w:tcPr>
          <w:p>
            <w:pPr>
              <w:widowControl/>
              <w:jc w:val="center"/>
              <w:rPr>
                <w:rFonts w:ascii="仿宋_GB2312" w:hAnsi="宋体" w:cs="宋体"/>
                <w:b/>
                <w:bCs/>
                <w:color w:val="000000"/>
                <w:kern w:val="0"/>
                <w:sz w:val="24"/>
              </w:rPr>
            </w:pPr>
            <w:r>
              <w:rPr>
                <w:rFonts w:ascii="仿宋_GB2312" w:hAnsi="宋体" w:cs="宋体"/>
                <w:b/>
                <w:bCs/>
                <w:color w:val="000000"/>
                <w:kern w:val="0"/>
                <w:sz w:val="24"/>
              </w:rPr>
              <w:t>名称</w:t>
            </w:r>
          </w:p>
        </w:tc>
        <w:tc>
          <w:tcPr>
            <w:tcW w:w="1134" w:type="dxa"/>
            <w:shd w:val="clear" w:color="auto" w:fill="auto"/>
            <w:noWrap/>
            <w:vAlign w:val="center"/>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分值</w:t>
            </w:r>
          </w:p>
        </w:tc>
        <w:tc>
          <w:tcPr>
            <w:tcW w:w="992" w:type="dxa"/>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决策</w:t>
            </w:r>
          </w:p>
        </w:tc>
        <w:tc>
          <w:tcPr>
            <w:tcW w:w="850"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21</w:t>
            </w:r>
          </w:p>
        </w:tc>
        <w:tc>
          <w:tcPr>
            <w:tcW w:w="1276"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项目立项</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8</w:t>
            </w: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立项依据充分性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立项程序规范性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绩效目标</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7</w:t>
            </w: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绩效目标合理性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4</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绩效指标明确性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w:t>
            </w:r>
          </w:p>
        </w:tc>
        <w:tc>
          <w:tcPr>
            <w:tcW w:w="992" w:type="dxa"/>
          </w:tcPr>
          <w:p>
            <w:pPr>
              <w:widowControl/>
              <w:jc w:val="center"/>
              <w:rPr>
                <w:rFonts w:ascii="仿宋_GB2312" w:hAnsi="宋体" w:cs="宋体"/>
                <w:color w:val="000000"/>
                <w:kern w:val="0"/>
                <w:sz w:val="24"/>
              </w:rPr>
            </w:pPr>
            <w:r>
              <w:rPr>
                <w:rFonts w:ascii="仿宋_GB2312" w:hAnsi="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资金投入</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预算编制科学性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4</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资金分配合理性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过程</w:t>
            </w:r>
          </w:p>
        </w:tc>
        <w:tc>
          <w:tcPr>
            <w:tcW w:w="850"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19</w:t>
            </w:r>
          </w:p>
        </w:tc>
        <w:tc>
          <w:tcPr>
            <w:tcW w:w="1276"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资金管理</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11</w:t>
            </w: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资金到位率</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预算执行率</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4</w:t>
            </w:r>
            <w:r>
              <w:rPr>
                <w:rFonts w:ascii="仿宋_GB2312" w:hAnsi="宋体" w:cs="宋体"/>
                <w:color w:val="000000"/>
                <w:kern w:val="0"/>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资金使用合规性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4</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组织实施</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8</w:t>
            </w: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管理制度健全性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w:t>
            </w:r>
          </w:p>
        </w:tc>
        <w:tc>
          <w:tcPr>
            <w:tcW w:w="992" w:type="dxa"/>
          </w:tcPr>
          <w:p>
            <w:pPr>
              <w:widowControl/>
              <w:jc w:val="center"/>
              <w:rPr>
                <w:rFonts w:ascii="仿宋_GB2312" w:hAnsi="宋体" w:cs="宋体"/>
                <w:color w:val="000000"/>
                <w:kern w:val="0"/>
                <w:sz w:val="24"/>
              </w:rPr>
            </w:pPr>
            <w:r>
              <w:rPr>
                <w:rFonts w:ascii="仿宋_GB2312" w:hAnsi="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制度执行有效性</w:t>
            </w:r>
          </w:p>
        </w:tc>
        <w:tc>
          <w:tcPr>
            <w:tcW w:w="1134"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1"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w:t>
            </w:r>
          </w:p>
        </w:tc>
        <w:tc>
          <w:tcPr>
            <w:tcW w:w="850"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32</w:t>
            </w:r>
          </w:p>
        </w:tc>
        <w:tc>
          <w:tcPr>
            <w:tcW w:w="1276"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产出数量</w:t>
            </w:r>
          </w:p>
        </w:tc>
        <w:tc>
          <w:tcPr>
            <w:tcW w:w="70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10</w:t>
            </w: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系统维护数量</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w:t>
            </w:r>
          </w:p>
        </w:tc>
        <w:tc>
          <w:tcPr>
            <w:tcW w:w="992" w:type="dxa"/>
          </w:tcPr>
          <w:p>
            <w:pPr>
              <w:widowControl/>
              <w:jc w:val="center"/>
              <w:rPr>
                <w:rFonts w:ascii="仿宋_GB2312" w:hAnsi="宋体" w:cs="宋体"/>
                <w:color w:val="000000"/>
                <w:kern w:val="0"/>
                <w:sz w:val="24"/>
              </w:rPr>
            </w:pPr>
            <w:r>
              <w:rPr>
                <w:rFonts w:ascii="仿宋_GB2312"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产出质量</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10</w:t>
            </w: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系统验收合格率</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故障排除率</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5</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产出时效</w:t>
            </w:r>
          </w:p>
        </w:tc>
        <w:tc>
          <w:tcPr>
            <w:tcW w:w="70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故障修复时效</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产出成本</w:t>
            </w:r>
          </w:p>
        </w:tc>
        <w:tc>
          <w:tcPr>
            <w:tcW w:w="709" w:type="dxa"/>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成本节约率</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5</w:t>
            </w:r>
            <w:r>
              <w:rPr>
                <w:rFonts w:ascii="仿宋_GB2312" w:hAnsi="宋体" w:cs="宋体"/>
                <w:color w:val="000000"/>
                <w:kern w:val="0"/>
                <w:sz w:val="24"/>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41"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效益</w:t>
            </w:r>
          </w:p>
        </w:tc>
        <w:tc>
          <w:tcPr>
            <w:tcW w:w="850"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28</w:t>
            </w:r>
          </w:p>
        </w:tc>
        <w:tc>
          <w:tcPr>
            <w:tcW w:w="1276" w:type="dxa"/>
            <w:vMerge w:val="restart"/>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社会效益</w:t>
            </w:r>
          </w:p>
        </w:tc>
        <w:tc>
          <w:tcPr>
            <w:tcW w:w="709" w:type="dxa"/>
            <w:vMerge w:val="restart"/>
            <w:shd w:val="clear" w:color="auto" w:fill="auto"/>
            <w:vAlign w:val="center"/>
          </w:tcPr>
          <w:p>
            <w:pPr>
              <w:widowControl/>
              <w:jc w:val="center"/>
              <w:rPr>
                <w:rFonts w:ascii="仿宋_GB2312" w:hAnsi="宋体" w:cs="宋体"/>
                <w:color w:val="000000"/>
                <w:kern w:val="0"/>
                <w:sz w:val="24"/>
              </w:rPr>
            </w:pPr>
            <w:r>
              <w:rPr>
                <w:rFonts w:ascii="仿宋_GB2312" w:hAnsi="宋体" w:cs="宋体"/>
                <w:color w:val="000000"/>
                <w:kern w:val="0"/>
                <w:sz w:val="24"/>
              </w:rPr>
              <w:t>28</w:t>
            </w: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财政资金保障能力</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vMerge w:val="continue"/>
            <w:shd w:val="clear" w:color="auto" w:fill="auto"/>
            <w:vAlign w:val="center"/>
          </w:tcPr>
          <w:p>
            <w:pPr>
              <w:widowControl/>
              <w:jc w:val="center"/>
              <w:rPr>
                <w:rFonts w:ascii="仿宋_GB2312" w:hAnsi="宋体" w:cs="宋体"/>
                <w:color w:val="000000"/>
                <w:kern w:val="0"/>
                <w:sz w:val="24"/>
              </w:rPr>
            </w:pP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支撑新政府会计制度改革</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可持续性影响</w:t>
            </w: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财政风险管控能力</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6</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1" w:type="dxa"/>
            <w:vMerge w:val="continue"/>
            <w:shd w:val="clear" w:color="auto" w:fill="auto"/>
            <w:vAlign w:val="center"/>
          </w:tcPr>
          <w:p>
            <w:pPr>
              <w:widowControl/>
              <w:jc w:val="center"/>
              <w:rPr>
                <w:rFonts w:ascii="仿宋_GB2312" w:hAnsi="宋体" w:cs="宋体"/>
                <w:color w:val="000000"/>
                <w:kern w:val="0"/>
                <w:sz w:val="24"/>
              </w:rPr>
            </w:pPr>
          </w:p>
        </w:tc>
        <w:tc>
          <w:tcPr>
            <w:tcW w:w="850" w:type="dxa"/>
            <w:vMerge w:val="continue"/>
            <w:shd w:val="clear" w:color="auto" w:fill="auto"/>
            <w:vAlign w:val="center"/>
          </w:tcPr>
          <w:p>
            <w:pPr>
              <w:widowControl/>
              <w:jc w:val="center"/>
              <w:rPr>
                <w:rFonts w:ascii="仿宋_GB2312" w:hAnsi="宋体" w:cs="宋体"/>
                <w:color w:val="000000"/>
                <w:kern w:val="0"/>
                <w:sz w:val="24"/>
              </w:rPr>
            </w:pPr>
          </w:p>
        </w:tc>
        <w:tc>
          <w:tcPr>
            <w:tcW w:w="1276"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满意度</w:t>
            </w:r>
          </w:p>
        </w:tc>
        <w:tc>
          <w:tcPr>
            <w:tcW w:w="709" w:type="dxa"/>
            <w:vMerge w:val="continue"/>
            <w:shd w:val="clear" w:color="auto" w:fill="auto"/>
            <w:vAlign w:val="center"/>
          </w:tcPr>
          <w:p>
            <w:pPr>
              <w:widowControl/>
              <w:jc w:val="center"/>
              <w:rPr>
                <w:rFonts w:ascii="仿宋_GB2312" w:hAnsi="宋体" w:cs="宋体"/>
                <w:color w:val="000000"/>
                <w:kern w:val="0"/>
                <w:sz w:val="24"/>
              </w:rPr>
            </w:pPr>
          </w:p>
        </w:tc>
        <w:tc>
          <w:tcPr>
            <w:tcW w:w="2268" w:type="dxa"/>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使用人员满意度</w:t>
            </w: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w:t>
            </w:r>
          </w:p>
        </w:tc>
        <w:tc>
          <w:tcPr>
            <w:tcW w:w="992" w:type="dxa"/>
          </w:tcPr>
          <w:p>
            <w:pPr>
              <w:widowControl/>
              <w:jc w:val="center"/>
              <w:rPr>
                <w:rFonts w:ascii="仿宋_GB2312" w:hAnsi="宋体" w:cs="宋体"/>
                <w:color w:val="000000"/>
                <w:kern w:val="0"/>
                <w:sz w:val="24"/>
              </w:rPr>
            </w:pPr>
            <w:r>
              <w:rPr>
                <w:rFonts w:ascii="仿宋_GB2312" w:hAnsi="宋体" w:cs="宋体"/>
                <w:color w:val="000000"/>
                <w:kern w:val="0"/>
                <w:sz w:val="24"/>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41"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总分</w:t>
            </w:r>
          </w:p>
        </w:tc>
        <w:tc>
          <w:tcPr>
            <w:tcW w:w="850"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100</w:t>
            </w:r>
          </w:p>
        </w:tc>
        <w:tc>
          <w:tcPr>
            <w:tcW w:w="1276" w:type="dxa"/>
            <w:shd w:val="clear" w:color="auto" w:fill="auto"/>
            <w:noWrap/>
            <w:vAlign w:val="center"/>
          </w:tcPr>
          <w:p>
            <w:pPr>
              <w:widowControl/>
              <w:jc w:val="center"/>
              <w:rPr>
                <w:rFonts w:ascii="仿宋_GB2312" w:hAnsi="宋体" w:cs="宋体"/>
                <w:color w:val="000000"/>
                <w:kern w:val="0"/>
                <w:sz w:val="24"/>
              </w:rPr>
            </w:pPr>
          </w:p>
        </w:tc>
        <w:tc>
          <w:tcPr>
            <w:tcW w:w="709"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100</w:t>
            </w:r>
          </w:p>
        </w:tc>
        <w:tc>
          <w:tcPr>
            <w:tcW w:w="2268" w:type="dxa"/>
            <w:shd w:val="clear" w:color="auto" w:fill="auto"/>
            <w:noWrap/>
            <w:vAlign w:val="center"/>
          </w:tcPr>
          <w:p>
            <w:pPr>
              <w:widowControl/>
              <w:jc w:val="center"/>
              <w:rPr>
                <w:rFonts w:ascii="仿宋_GB2312" w:hAnsi="宋体" w:cs="宋体"/>
                <w:color w:val="000000"/>
                <w:kern w:val="0"/>
                <w:sz w:val="24"/>
              </w:rPr>
            </w:pPr>
          </w:p>
        </w:tc>
        <w:tc>
          <w:tcPr>
            <w:tcW w:w="1134" w:type="dxa"/>
            <w:shd w:val="clear" w:color="auto" w:fill="auto"/>
            <w:noWrap/>
            <w:vAlign w:val="center"/>
          </w:tcPr>
          <w:p>
            <w:pPr>
              <w:widowControl/>
              <w:jc w:val="center"/>
              <w:rPr>
                <w:rFonts w:ascii="仿宋_GB2312" w:hAnsi="宋体" w:cs="宋体"/>
                <w:color w:val="000000"/>
                <w:kern w:val="0"/>
                <w:sz w:val="24"/>
              </w:rPr>
            </w:pPr>
            <w:r>
              <w:rPr>
                <w:rFonts w:ascii="仿宋_GB2312" w:hAnsi="宋体" w:cs="宋体"/>
                <w:color w:val="000000"/>
                <w:kern w:val="0"/>
                <w:sz w:val="24"/>
              </w:rPr>
              <w:t>100</w:t>
            </w:r>
          </w:p>
        </w:tc>
        <w:tc>
          <w:tcPr>
            <w:tcW w:w="992" w:type="dxa"/>
          </w:tcPr>
          <w:p>
            <w:pPr>
              <w:widowControl/>
              <w:jc w:val="center"/>
              <w:rPr>
                <w:rFonts w:ascii="仿宋_GB2312" w:hAnsi="宋体" w:cs="宋体"/>
                <w:color w:val="000000"/>
                <w:kern w:val="0"/>
                <w:sz w:val="24"/>
              </w:rPr>
            </w:pPr>
            <w:r>
              <w:rPr>
                <w:rFonts w:hint="eastAsia" w:ascii="仿宋_GB2312" w:hAnsi="宋体" w:cs="宋体"/>
                <w:color w:val="000000"/>
                <w:kern w:val="0"/>
                <w:sz w:val="24"/>
              </w:rPr>
              <w:t>9</w:t>
            </w:r>
            <w:r>
              <w:rPr>
                <w:rFonts w:ascii="仿宋_GB2312" w:hAnsi="宋体" w:cs="宋体"/>
                <w:color w:val="000000"/>
                <w:kern w:val="0"/>
                <w:sz w:val="24"/>
              </w:rPr>
              <w:t>5.59</w:t>
            </w:r>
          </w:p>
        </w:tc>
      </w:tr>
    </w:tbl>
    <w:p>
      <w:pPr>
        <w:spacing w:line="600" w:lineRule="exact"/>
        <w:rPr>
          <w:rFonts w:ascii="仿宋_GB2312"/>
        </w:rPr>
      </w:pPr>
    </w:p>
    <w:p>
      <w:pPr>
        <w:spacing w:line="600" w:lineRule="exact"/>
        <w:ind w:firstLine="643" w:firstLineChars="200"/>
        <w:outlineLvl w:val="0"/>
        <w:rPr>
          <w:rFonts w:ascii="黑体" w:hAnsi="黑体" w:eastAsia="黑体"/>
          <w:b/>
          <w:bCs/>
          <w:sz w:val="32"/>
          <w:szCs w:val="32"/>
        </w:rPr>
      </w:pPr>
      <w:bookmarkStart w:id="9" w:name="_Toc82783080"/>
      <w:r>
        <w:rPr>
          <w:rFonts w:hint="eastAsia" w:ascii="黑体" w:hAnsi="黑体" w:eastAsia="黑体"/>
          <w:b/>
          <w:bCs/>
          <w:sz w:val="32"/>
          <w:szCs w:val="32"/>
        </w:rPr>
        <w:t>四、绩效评价指标分析</w:t>
      </w:r>
      <w:bookmarkEnd w:id="9"/>
    </w:p>
    <w:p>
      <w:pPr>
        <w:adjustRightInd w:val="0"/>
        <w:snapToGrid w:val="0"/>
        <w:spacing w:line="560" w:lineRule="exact"/>
        <w:ind w:firstLine="643" w:firstLineChars="200"/>
        <w:outlineLvl w:val="0"/>
        <w:rPr>
          <w:rFonts w:ascii="楷体_GB2312" w:eastAsia="楷体_GB2312" w:cs="楷体_GB2312"/>
          <w:b/>
          <w:bCs/>
          <w:sz w:val="32"/>
          <w:szCs w:val="32"/>
        </w:rPr>
      </w:pPr>
      <w:bookmarkStart w:id="10" w:name="_Toc82783081"/>
      <w:r>
        <w:rPr>
          <w:rFonts w:hint="eastAsia" w:ascii="楷体_GB2312" w:eastAsia="楷体_GB2312" w:cs="楷体_GB2312"/>
          <w:b/>
          <w:bCs/>
          <w:sz w:val="32"/>
          <w:szCs w:val="32"/>
        </w:rPr>
        <w:t>（一）项目决策情况</w:t>
      </w:r>
      <w:bookmarkEnd w:id="10"/>
    </w:p>
    <w:p>
      <w:pPr>
        <w:spacing w:line="600" w:lineRule="exact"/>
        <w:ind w:firstLine="602" w:firstLineChars="200"/>
        <w:rPr>
          <w:rFonts w:ascii="仿宋_GB2312"/>
          <w:b/>
          <w:bCs/>
        </w:rPr>
      </w:pPr>
      <w:r>
        <w:rPr>
          <w:rFonts w:hint="eastAsia" w:ascii="仿宋_GB2312"/>
          <w:b/>
          <w:bCs/>
        </w:rPr>
        <w:t>项目决策指标分值共计</w:t>
      </w:r>
      <w:r>
        <w:rPr>
          <w:rFonts w:ascii="仿宋_GB2312"/>
          <w:b/>
          <w:bCs/>
        </w:rPr>
        <w:t>21</w:t>
      </w:r>
      <w:r>
        <w:rPr>
          <w:rFonts w:hint="eastAsia" w:ascii="仿宋_GB2312"/>
          <w:b/>
          <w:bCs/>
        </w:rPr>
        <w:t>分，本项目实际得分为</w:t>
      </w:r>
      <w:r>
        <w:rPr>
          <w:rFonts w:ascii="仿宋_GB2312"/>
          <w:b/>
          <w:bCs/>
        </w:rPr>
        <w:t>20</w:t>
      </w:r>
      <w:r>
        <w:rPr>
          <w:rFonts w:hint="eastAsia" w:ascii="仿宋_GB2312"/>
          <w:b/>
          <w:bCs/>
        </w:rPr>
        <w:t>分</w:t>
      </w:r>
    </w:p>
    <w:p>
      <w:pPr>
        <w:spacing w:line="560" w:lineRule="exact"/>
        <w:ind w:firstLine="640" w:firstLineChars="200"/>
        <w:rPr>
          <w:rFonts w:ascii="仿宋_GB2312"/>
          <w:sz w:val="32"/>
          <w:szCs w:val="32"/>
        </w:rPr>
      </w:pPr>
      <w:r>
        <w:rPr>
          <w:rFonts w:hint="eastAsia" w:ascii="仿宋_GB2312"/>
          <w:sz w:val="32"/>
          <w:szCs w:val="32"/>
        </w:rPr>
        <w:t>1</w:t>
      </w:r>
      <w:r>
        <w:rPr>
          <w:rFonts w:ascii="仿宋_GB2312"/>
          <w:sz w:val="32"/>
          <w:szCs w:val="32"/>
        </w:rPr>
        <w:t>.</w:t>
      </w:r>
      <w:r>
        <w:rPr>
          <w:rFonts w:hint="eastAsia" w:ascii="仿宋_GB2312"/>
          <w:sz w:val="32"/>
          <w:szCs w:val="32"/>
        </w:rPr>
        <w:t>项目立项</w:t>
      </w:r>
    </w:p>
    <w:p>
      <w:pPr>
        <w:spacing w:line="560" w:lineRule="exact"/>
        <w:ind w:firstLine="643" w:firstLineChars="200"/>
        <w:rPr>
          <w:sz w:val="32"/>
          <w:szCs w:val="40"/>
        </w:rPr>
      </w:pPr>
      <w:bookmarkStart w:id="11" w:name="_Hlk82767840"/>
      <w:r>
        <w:rPr>
          <w:rFonts w:hint="eastAsia"/>
          <w:b/>
          <w:bCs/>
          <w:sz w:val="32"/>
          <w:szCs w:val="40"/>
        </w:rPr>
        <w:t>一是立项依据充分性。</w:t>
      </w:r>
      <w:r>
        <w:rPr>
          <w:rFonts w:hint="eastAsia"/>
          <w:sz w:val="32"/>
          <w:szCs w:val="40"/>
        </w:rPr>
        <w:t>经充分了解，</w:t>
      </w:r>
      <w:r>
        <w:rPr>
          <w:rFonts w:hint="eastAsia" w:ascii="仿宋_GB2312"/>
        </w:rPr>
        <w:t>“信息系统维护”项目为中心经常性延续项目，项目立项为中心履职所需</w:t>
      </w:r>
      <w:r>
        <w:rPr>
          <w:rFonts w:hint="eastAsia"/>
          <w:sz w:val="32"/>
          <w:szCs w:val="40"/>
        </w:rPr>
        <w:t>；且项目资金属于公共财政支出范围，符合区财政局、中心事权支出责任划分原则；项目与相关部门同类项目及部门内部相关项目均不存在重复。立项依据充分性指标综合得分满分。</w:t>
      </w:r>
    </w:p>
    <w:p>
      <w:pPr>
        <w:spacing w:line="560" w:lineRule="exact"/>
        <w:ind w:firstLine="643" w:firstLineChars="200"/>
        <w:rPr>
          <w:rFonts w:ascii="仿宋_GB2312"/>
        </w:rPr>
      </w:pPr>
      <w:r>
        <w:rPr>
          <w:rFonts w:hint="eastAsia"/>
          <w:b/>
          <w:bCs/>
          <w:sz w:val="32"/>
          <w:szCs w:val="40"/>
        </w:rPr>
        <w:t>二是立项程序规范性。</w:t>
      </w:r>
      <w:r>
        <w:rPr>
          <w:rFonts w:hint="eastAsia"/>
          <w:sz w:val="32"/>
          <w:szCs w:val="40"/>
        </w:rPr>
        <w:t>在部门内部及单位层面决策过程中，本项目由中心办公室具体负责组织实施，根据中心年度工作计划，编制项目预算，明确项目绩效目标，并履行报批程序；且严格按照中心有关项目立项的规定和程序进行集体决策设立，项目立项的审批文件、材料充分且，符合区财政局有关项目申报规定的程序和要求。立项程序规范性指标综合得分满分。</w:t>
      </w:r>
    </w:p>
    <w:bookmarkEnd w:id="11"/>
    <w:p>
      <w:pPr>
        <w:spacing w:line="560" w:lineRule="exact"/>
        <w:ind w:firstLine="640" w:firstLineChars="200"/>
        <w:rPr>
          <w:rFonts w:ascii="仿宋_GB2312"/>
          <w:sz w:val="32"/>
          <w:szCs w:val="32"/>
        </w:rPr>
      </w:pPr>
      <w:r>
        <w:rPr>
          <w:rFonts w:hint="eastAsia" w:ascii="仿宋_GB2312"/>
          <w:sz w:val="32"/>
          <w:szCs w:val="32"/>
        </w:rPr>
        <w:t>2</w:t>
      </w:r>
      <w:r>
        <w:rPr>
          <w:rFonts w:ascii="仿宋_GB2312"/>
          <w:sz w:val="32"/>
          <w:szCs w:val="32"/>
        </w:rPr>
        <w:t>.</w:t>
      </w:r>
      <w:r>
        <w:rPr>
          <w:rFonts w:hint="eastAsia" w:ascii="仿宋_GB2312"/>
          <w:sz w:val="32"/>
          <w:szCs w:val="32"/>
        </w:rPr>
        <w:t>绩效目标</w:t>
      </w:r>
    </w:p>
    <w:p>
      <w:pPr>
        <w:ind w:firstLine="643"/>
      </w:pPr>
      <w:r>
        <w:rPr>
          <w:rFonts w:hint="eastAsia"/>
          <w:b/>
          <w:bCs/>
        </w:rPr>
        <w:t>一是绩效目标合理性。</w:t>
      </w:r>
      <w:r>
        <w:rPr>
          <w:rFonts w:hint="eastAsia" w:ascii="仿宋_GB2312"/>
        </w:rPr>
        <w:t>“信息系统维护”项目</w:t>
      </w:r>
      <w:r>
        <w:rPr>
          <w:rFonts w:hint="eastAsia"/>
        </w:rPr>
        <w:t>严格按照区政局预算指标设定有关要求，完整设定年度绩效目标，设定“信息系统维护实际数量”、“工程师常年驻点现场运维人数”、“系统运维服务验收合格率”、“信息系统维护实际完成率”“故障处理时长”等与项目工作匹配度较高的绩效指标，结合项目测算内容，合理设定指标目标值，使其符合上级政策标准及部门履职目标，绩效目标合理。</w:t>
      </w:r>
    </w:p>
    <w:p>
      <w:pPr>
        <w:ind w:firstLine="643"/>
      </w:pPr>
      <w:r>
        <w:rPr>
          <w:rFonts w:hint="eastAsia"/>
          <w:b/>
          <w:bCs/>
        </w:rPr>
        <w:t>二是绩效指标明确性。</w:t>
      </w:r>
      <w:r>
        <w:rPr>
          <w:rFonts w:hint="eastAsia"/>
        </w:rPr>
        <w:t>根据项目年度总体目标，</w:t>
      </w:r>
      <w:r>
        <w:rPr>
          <w:rFonts w:hint="eastAsia" w:ascii="仿宋_GB2312"/>
        </w:rPr>
        <w:t>信息系统维护</w:t>
      </w:r>
      <w:r>
        <w:rPr>
          <w:rFonts w:hint="eastAsia"/>
        </w:rPr>
        <w:t>项目绩效目标全面细化分解为数量、质量、时效、可持续性影响、服务对象满意度指标等具体三级绩效指标，各类绩效指标均通过清晰、可衡量的指标值予以体现，如三级指标“信息系统维护实际数量”对应的指标值设定</w:t>
      </w:r>
      <w:r>
        <w:rPr>
          <w:rFonts w:hint="eastAsia" w:ascii="仿宋_GB2312" w:hAnsi="仿宋_GB2312"/>
        </w:rPr>
        <w:t>为“</w:t>
      </w:r>
      <w:r>
        <w:rPr>
          <w:rFonts w:ascii="仿宋_GB2312" w:hAnsi="仿宋_GB2312"/>
        </w:rPr>
        <w:t>2</w:t>
      </w:r>
      <w:r>
        <w:rPr>
          <w:rFonts w:hint="eastAsia" w:ascii="仿宋_GB2312" w:hAnsi="仿宋_GB2312"/>
        </w:rPr>
        <w:t>项”</w:t>
      </w:r>
      <w:r>
        <w:rPr>
          <w:rFonts w:hint="eastAsia"/>
        </w:rPr>
        <w:t>，指标值设定与单位工作目标挂钩，符合项目测算，做到绩效指标设定完整、科学、可衡量，绩效指标明确</w:t>
      </w:r>
      <w:r>
        <w:t>。</w:t>
      </w:r>
      <w:r>
        <w:rPr>
          <w:rFonts w:hint="eastAsia" w:ascii="仿宋_GB2312"/>
        </w:rPr>
        <w:t>但预算绩效目标的效益指标设置不够精准，应设置社会效益指标，此项扣一分。</w:t>
      </w:r>
    </w:p>
    <w:p>
      <w:pPr>
        <w:spacing w:line="560" w:lineRule="exact"/>
        <w:ind w:firstLine="640" w:firstLineChars="200"/>
        <w:rPr>
          <w:rFonts w:ascii="仿宋_GB2312"/>
          <w:sz w:val="32"/>
          <w:szCs w:val="32"/>
        </w:rPr>
      </w:pPr>
      <w:r>
        <w:rPr>
          <w:rFonts w:ascii="仿宋_GB2312"/>
          <w:sz w:val="32"/>
          <w:szCs w:val="32"/>
        </w:rPr>
        <w:t>3</w:t>
      </w:r>
      <w:r>
        <w:rPr>
          <w:rFonts w:hint="eastAsia" w:ascii="仿宋_GB2312"/>
          <w:sz w:val="32"/>
          <w:szCs w:val="32"/>
        </w:rPr>
        <w:t>.资金投入</w:t>
      </w:r>
    </w:p>
    <w:p>
      <w:pPr>
        <w:spacing w:line="560" w:lineRule="exact"/>
        <w:ind w:firstLine="602" w:firstLineChars="200"/>
        <w:rPr>
          <w:sz w:val="32"/>
          <w:szCs w:val="40"/>
        </w:rPr>
      </w:pPr>
      <w:r>
        <w:rPr>
          <w:rFonts w:hint="eastAsia"/>
          <w:b/>
          <w:bCs/>
        </w:rPr>
        <w:t>一是预算编制科学性</w:t>
      </w:r>
      <w:r>
        <w:rPr>
          <w:rFonts w:hint="eastAsia"/>
          <w:sz w:val="32"/>
          <w:szCs w:val="40"/>
        </w:rPr>
        <w:t>。2020年度，</w:t>
      </w:r>
      <w:r>
        <w:rPr>
          <w:rFonts w:hint="eastAsia" w:ascii="仿宋_GB2312"/>
        </w:rPr>
        <w:t>信息系统维护</w:t>
      </w:r>
      <w:r>
        <w:rPr>
          <w:rFonts w:hint="eastAsia"/>
          <w:sz w:val="32"/>
          <w:szCs w:val="40"/>
        </w:rPr>
        <w:t>项目年初预算数为</w:t>
      </w:r>
      <w:r>
        <w:rPr>
          <w:sz w:val="32"/>
          <w:szCs w:val="40"/>
        </w:rPr>
        <w:t>38</w:t>
      </w:r>
      <w:r>
        <w:rPr>
          <w:rFonts w:hint="eastAsia"/>
          <w:sz w:val="32"/>
          <w:szCs w:val="40"/>
        </w:rPr>
        <w:t>万元，为延续性项目，该项目能够严格按照区财政局国库支付中心关于预算编制的规范和要求及项目实际编制，预算内容与项目内容基本相匹配，预算确定的资金量与工作计划基本相匹配，预算额度能够结合以前年度项目投入资金量、市场参考价、外部政策要求等进行测算，项目预算整体完成情况良好。预算编制合理科学性指标得满分。</w:t>
      </w:r>
    </w:p>
    <w:p>
      <w:pPr>
        <w:spacing w:line="560" w:lineRule="exact"/>
        <w:ind w:firstLine="602" w:firstLineChars="200"/>
        <w:rPr>
          <w:sz w:val="32"/>
          <w:szCs w:val="40"/>
        </w:rPr>
      </w:pPr>
      <w:bookmarkStart w:id="12" w:name="_Hlk82768577"/>
      <w:r>
        <w:rPr>
          <w:rFonts w:hint="eastAsia"/>
          <w:b/>
          <w:bCs/>
        </w:rPr>
        <w:t>二是资金分配合理性。</w:t>
      </w:r>
      <w:bookmarkEnd w:id="12"/>
      <w:r>
        <w:rPr>
          <w:rFonts w:hint="eastAsia"/>
          <w:sz w:val="32"/>
          <w:szCs w:val="40"/>
        </w:rPr>
        <w:t>国库支付中心年度预算分配符合区财政局有关方针政策和工作要求，项目分配符合各内设部门职责，项目预算能紧密结合部门职责，根据年度工作重点，在不同明细项目之间合理分配，功能分类和经济分类编制准确，不存在项目之间频繁调剂情况，项目支出进度良好、完成效率高。资金分配合理性指标得满分。</w:t>
      </w:r>
    </w:p>
    <w:p>
      <w:pPr>
        <w:adjustRightInd w:val="0"/>
        <w:snapToGrid w:val="0"/>
        <w:spacing w:line="560" w:lineRule="exact"/>
        <w:ind w:firstLine="643" w:firstLineChars="200"/>
        <w:outlineLvl w:val="0"/>
        <w:rPr>
          <w:rFonts w:ascii="楷体_GB2312" w:eastAsia="楷体_GB2312" w:cs="楷体_GB2312"/>
          <w:b/>
          <w:bCs/>
          <w:sz w:val="32"/>
          <w:szCs w:val="32"/>
        </w:rPr>
      </w:pPr>
      <w:bookmarkStart w:id="13" w:name="_Toc82783082"/>
      <w:r>
        <w:rPr>
          <w:rFonts w:hint="eastAsia" w:ascii="楷体_GB2312" w:eastAsia="楷体_GB2312" w:cs="楷体_GB2312"/>
          <w:b/>
          <w:bCs/>
          <w:sz w:val="32"/>
          <w:szCs w:val="32"/>
        </w:rPr>
        <w:t>（二）项目过程情况</w:t>
      </w:r>
      <w:bookmarkEnd w:id="13"/>
    </w:p>
    <w:p>
      <w:pPr>
        <w:spacing w:line="600" w:lineRule="exact"/>
        <w:ind w:firstLine="602" w:firstLineChars="200"/>
        <w:rPr>
          <w:rFonts w:ascii="仿宋_GB2312"/>
          <w:b/>
          <w:bCs/>
        </w:rPr>
      </w:pPr>
      <w:r>
        <w:rPr>
          <w:rFonts w:hint="eastAsia" w:ascii="仿宋_GB2312"/>
          <w:b/>
          <w:bCs/>
        </w:rPr>
        <w:t>项目过程指标分值共计</w:t>
      </w:r>
      <w:r>
        <w:rPr>
          <w:rFonts w:ascii="仿宋_GB2312"/>
          <w:b/>
          <w:bCs/>
        </w:rPr>
        <w:t>19</w:t>
      </w:r>
      <w:r>
        <w:rPr>
          <w:rFonts w:hint="eastAsia" w:ascii="仿宋_GB2312"/>
          <w:b/>
          <w:bCs/>
        </w:rPr>
        <w:t>分，本项目实际得分为</w:t>
      </w:r>
      <w:r>
        <w:rPr>
          <w:rFonts w:ascii="仿宋_GB2312"/>
          <w:b/>
          <w:bCs/>
        </w:rPr>
        <w:t>15.95</w:t>
      </w:r>
      <w:r>
        <w:rPr>
          <w:rFonts w:hint="eastAsia" w:ascii="仿宋_GB2312"/>
          <w:b/>
          <w:bCs/>
        </w:rPr>
        <w:t>分</w:t>
      </w:r>
    </w:p>
    <w:p>
      <w:pPr>
        <w:spacing w:line="560" w:lineRule="exact"/>
        <w:ind w:firstLine="640" w:firstLineChars="200"/>
        <w:rPr>
          <w:rFonts w:ascii="仿宋_GB2312"/>
          <w:sz w:val="32"/>
          <w:szCs w:val="32"/>
        </w:rPr>
      </w:pPr>
      <w:r>
        <w:rPr>
          <w:rFonts w:hint="eastAsia" w:ascii="仿宋_GB2312"/>
          <w:sz w:val="32"/>
          <w:szCs w:val="32"/>
        </w:rPr>
        <w:t>1</w:t>
      </w:r>
      <w:r>
        <w:rPr>
          <w:rFonts w:ascii="仿宋_GB2312"/>
          <w:sz w:val="32"/>
          <w:szCs w:val="32"/>
        </w:rPr>
        <w:t>.</w:t>
      </w:r>
      <w:r>
        <w:rPr>
          <w:rFonts w:hint="eastAsia" w:ascii="仿宋_GB2312"/>
          <w:sz w:val="32"/>
          <w:szCs w:val="32"/>
        </w:rPr>
        <w:t>资金管理</w:t>
      </w:r>
    </w:p>
    <w:p>
      <w:pPr>
        <w:spacing w:line="560" w:lineRule="exact"/>
        <w:ind w:firstLine="602" w:firstLineChars="200"/>
        <w:rPr>
          <w:rFonts w:ascii="仿宋_GB2312"/>
        </w:rPr>
      </w:pPr>
      <w:r>
        <w:rPr>
          <w:rFonts w:hint="eastAsia"/>
          <w:b/>
          <w:bCs/>
        </w:rPr>
        <w:t>一是资金到位率</w:t>
      </w:r>
      <w:r>
        <w:rPr>
          <w:rFonts w:hint="eastAsia" w:ascii="仿宋_GB2312"/>
        </w:rPr>
        <w:t>。20</w:t>
      </w:r>
      <w:r>
        <w:rPr>
          <w:rFonts w:ascii="仿宋_GB2312"/>
        </w:rPr>
        <w:t>20</w:t>
      </w:r>
      <w:r>
        <w:rPr>
          <w:rFonts w:hint="eastAsia" w:ascii="仿宋_GB2312"/>
        </w:rPr>
        <w:t>年度，信息系统维护项目安排预算</w:t>
      </w:r>
      <w:r>
        <w:rPr>
          <w:rFonts w:ascii="仿宋_GB2312"/>
        </w:rPr>
        <w:t>38</w:t>
      </w:r>
      <w:r>
        <w:rPr>
          <w:rFonts w:hint="eastAsia" w:ascii="仿宋_GB2312"/>
        </w:rPr>
        <w:t>万元，实际到位资金</w:t>
      </w:r>
      <w:r>
        <w:rPr>
          <w:rFonts w:ascii="仿宋_GB2312"/>
        </w:rPr>
        <w:t>38</w:t>
      </w:r>
      <w:r>
        <w:rPr>
          <w:rFonts w:hint="eastAsia" w:ascii="仿宋_GB2312"/>
        </w:rPr>
        <w:t>万元，资金</w:t>
      </w:r>
      <w:r>
        <w:rPr>
          <w:rFonts w:hint="eastAsia"/>
          <w:b/>
          <w:bCs/>
        </w:rPr>
        <w:t>到位率</w:t>
      </w:r>
      <w:r>
        <w:rPr>
          <w:rFonts w:hint="eastAsia" w:ascii="仿宋_GB2312"/>
        </w:rPr>
        <w:t>1</w:t>
      </w:r>
      <w:r>
        <w:rPr>
          <w:rFonts w:ascii="仿宋_GB2312"/>
        </w:rPr>
        <w:t>00%</w:t>
      </w:r>
      <w:r>
        <w:rPr>
          <w:rFonts w:hint="eastAsia" w:ascii="仿宋_GB2312"/>
        </w:rPr>
        <w:t>。</w:t>
      </w:r>
      <w:r>
        <w:rPr>
          <w:rFonts w:hint="eastAsia"/>
        </w:rPr>
        <w:t>资金到位率指标</w:t>
      </w:r>
      <w:r>
        <w:rPr>
          <w:rFonts w:hint="eastAsia" w:ascii="仿宋_GB2312"/>
        </w:rPr>
        <w:t>得满分。</w:t>
      </w:r>
    </w:p>
    <w:p>
      <w:pPr>
        <w:spacing w:line="560" w:lineRule="exact"/>
        <w:ind w:firstLine="602" w:firstLineChars="200"/>
        <w:rPr>
          <w:rFonts w:ascii="仿宋_GB2312"/>
        </w:rPr>
      </w:pPr>
      <w:r>
        <w:rPr>
          <w:rFonts w:hint="eastAsia"/>
          <w:b/>
          <w:bCs/>
        </w:rPr>
        <w:t>二是预算执行率。</w:t>
      </w:r>
      <w:r>
        <w:rPr>
          <w:rFonts w:hint="eastAsia" w:ascii="仿宋_GB2312"/>
        </w:rPr>
        <w:t>经预算调整程序审批后，调减预算1</w:t>
      </w:r>
      <w:r>
        <w:rPr>
          <w:rFonts w:ascii="仿宋_GB2312"/>
        </w:rPr>
        <w:t>.4</w:t>
      </w:r>
      <w:r>
        <w:rPr>
          <w:rFonts w:hint="eastAsia" w:ascii="仿宋_GB2312"/>
        </w:rPr>
        <w:t>万元，实际支出</w:t>
      </w:r>
      <w:r>
        <w:rPr>
          <w:rFonts w:ascii="仿宋_GB2312"/>
        </w:rPr>
        <w:t>36.58</w:t>
      </w:r>
      <w:r>
        <w:rPr>
          <w:rFonts w:hint="eastAsia" w:ascii="仿宋_GB2312"/>
        </w:rPr>
        <w:t>万元，预算执行率</w:t>
      </w:r>
      <w:r>
        <w:rPr>
          <w:rFonts w:ascii="仿宋_GB2312"/>
        </w:rPr>
        <w:t>99.95%</w:t>
      </w:r>
      <w:r>
        <w:rPr>
          <w:rFonts w:hint="eastAsia" w:ascii="仿宋_GB2312"/>
        </w:rPr>
        <w:t>。依据评分标准，此项指标满分</w:t>
      </w:r>
      <w:r>
        <w:rPr>
          <w:rFonts w:ascii="仿宋_GB2312"/>
        </w:rPr>
        <w:t>5</w:t>
      </w:r>
      <w:r>
        <w:rPr>
          <w:rFonts w:hint="eastAsia" w:ascii="仿宋_GB2312"/>
        </w:rPr>
        <w:t>分，实际得分</w:t>
      </w:r>
      <w:r>
        <w:rPr>
          <w:rFonts w:ascii="仿宋_GB2312"/>
        </w:rPr>
        <w:t>4.95</w:t>
      </w:r>
      <w:r>
        <w:rPr>
          <w:rFonts w:hint="eastAsia" w:ascii="仿宋_GB2312"/>
        </w:rPr>
        <w:t>分。</w:t>
      </w:r>
    </w:p>
    <w:p>
      <w:pPr>
        <w:spacing w:line="560" w:lineRule="exact"/>
        <w:ind w:firstLine="602" w:firstLineChars="200"/>
        <w:rPr>
          <w:rFonts w:ascii="仿宋_GB2312"/>
        </w:rPr>
      </w:pPr>
      <w:r>
        <w:rPr>
          <w:rFonts w:hint="eastAsia"/>
          <w:b/>
          <w:bCs/>
        </w:rPr>
        <w:t>三是</w:t>
      </w:r>
      <w:bookmarkStart w:id="14" w:name="_Hlk82786092"/>
      <w:r>
        <w:rPr>
          <w:rFonts w:hint="eastAsia"/>
          <w:b/>
          <w:bCs/>
        </w:rPr>
        <w:t>资金使用合规性</w:t>
      </w:r>
      <w:bookmarkEnd w:id="14"/>
      <w:r>
        <w:rPr>
          <w:rFonts w:hint="eastAsia"/>
          <w:b/>
          <w:bCs/>
        </w:rPr>
        <w:t>。</w:t>
      </w:r>
      <w:r>
        <w:rPr>
          <w:rFonts w:hint="eastAsia" w:ascii="仿宋_GB2312"/>
        </w:rPr>
        <w:t>项目资金管理符合《深圳市福田区国库支付中心工作制度汇编》中的财务管理规定，严格按照中心年度部门预算批复执行，资金使用合理、规范、透明，无超范围、超标准支出，不存在截留、挤占、挪用项目资金情况。资金使用合规性指标得满分。</w:t>
      </w:r>
    </w:p>
    <w:p>
      <w:pPr>
        <w:spacing w:line="560" w:lineRule="exact"/>
        <w:ind w:firstLine="640" w:firstLineChars="200"/>
        <w:rPr>
          <w:rFonts w:ascii="仿宋_GB2312"/>
          <w:sz w:val="32"/>
          <w:szCs w:val="32"/>
        </w:rPr>
      </w:pPr>
      <w:r>
        <w:rPr>
          <w:rFonts w:hint="eastAsia" w:ascii="仿宋_GB2312"/>
          <w:sz w:val="32"/>
          <w:szCs w:val="32"/>
        </w:rPr>
        <w:t>2</w:t>
      </w:r>
      <w:r>
        <w:rPr>
          <w:rFonts w:ascii="仿宋_GB2312"/>
          <w:sz w:val="32"/>
          <w:szCs w:val="32"/>
        </w:rPr>
        <w:t>.</w:t>
      </w:r>
      <w:r>
        <w:rPr>
          <w:rFonts w:hint="eastAsia" w:ascii="仿宋_GB2312"/>
          <w:sz w:val="32"/>
          <w:szCs w:val="32"/>
        </w:rPr>
        <w:t>组织实施</w:t>
      </w:r>
    </w:p>
    <w:p>
      <w:pPr>
        <w:ind w:firstLine="643"/>
        <w:rPr>
          <w:rFonts w:ascii="仿宋_GB2312" w:hAnsi="仿宋_GB2312"/>
          <w:b/>
          <w:bCs/>
        </w:rPr>
      </w:pPr>
      <w:r>
        <w:rPr>
          <w:rFonts w:hint="eastAsia" w:ascii="仿宋_GB2312" w:hAnsi="仿宋_GB2312"/>
          <w:b/>
          <w:bCs/>
        </w:rPr>
        <w:t>一是管理制度健全性。</w:t>
      </w:r>
      <w:r>
        <w:rPr>
          <w:rFonts w:hint="eastAsia" w:ascii="仿宋_GB2312" w:hAnsi="仿宋_GB2312"/>
        </w:rPr>
        <w:t>由于项目主要是信息系统维护费的支出，主要按照</w:t>
      </w:r>
      <w:r>
        <w:rPr>
          <w:rFonts w:hint="eastAsia" w:ascii="仿宋_GB2312"/>
        </w:rPr>
        <w:t>《深圳市福田区国库支付中心工作制度汇编》的财务管理制度</w:t>
      </w:r>
      <w:r>
        <w:rPr>
          <w:rFonts w:hint="eastAsia" w:ascii="仿宋_GB2312" w:hAnsi="仿宋_GB2312"/>
        </w:rPr>
        <w:t>执行，制度中明确了项目资金支付、项目绩效管理等规定，管理制度健全，保障了项目的高效、合规实施。</w:t>
      </w:r>
    </w:p>
    <w:p>
      <w:pPr>
        <w:ind w:firstLine="643"/>
        <w:rPr>
          <w:rFonts w:ascii="仿宋_GB2312" w:hAnsi="仿宋_GB2312"/>
        </w:rPr>
      </w:pPr>
      <w:r>
        <w:rPr>
          <w:rFonts w:hint="eastAsia" w:ascii="仿宋_GB2312" w:hAnsi="仿宋_GB2312"/>
          <w:b/>
          <w:bCs/>
        </w:rPr>
        <w:t>二是制度执行有效性。</w:t>
      </w:r>
      <w:r>
        <w:rPr>
          <w:rFonts w:hint="eastAsia" w:ascii="仿宋_GB2312" w:hAnsi="仿宋_GB2312"/>
        </w:rPr>
        <w:t>项目实施过程中，</w:t>
      </w:r>
      <w:r>
        <w:rPr>
          <w:rFonts w:hint="eastAsia" w:ascii="仿宋_GB2312"/>
        </w:rPr>
        <w:t>该</w:t>
      </w:r>
      <w:bookmarkStart w:id="15" w:name="_Hlk77348221"/>
      <w:r>
        <w:rPr>
          <w:rFonts w:hint="eastAsia" w:ascii="仿宋_GB2312"/>
        </w:rPr>
        <w:t>项目验收资料只有年末的验收单，未对项目的过程资料进行归档，如信息系统的修障日志</w:t>
      </w:r>
      <w:bookmarkEnd w:id="15"/>
      <w:r>
        <w:rPr>
          <w:rFonts w:hint="eastAsia" w:ascii="仿宋_GB2312"/>
        </w:rPr>
        <w:t>，依据评分标准，此项指标满分</w:t>
      </w:r>
      <w:r>
        <w:rPr>
          <w:rFonts w:ascii="仿宋_GB2312"/>
        </w:rPr>
        <w:t>5</w:t>
      </w:r>
      <w:r>
        <w:rPr>
          <w:rFonts w:hint="eastAsia" w:ascii="仿宋_GB2312"/>
        </w:rPr>
        <w:t>分，实际得分</w:t>
      </w:r>
      <w:r>
        <w:rPr>
          <w:rFonts w:ascii="仿宋_GB2312"/>
        </w:rPr>
        <w:t>3</w:t>
      </w:r>
      <w:r>
        <w:rPr>
          <w:rFonts w:hint="eastAsia" w:ascii="仿宋_GB2312"/>
        </w:rPr>
        <w:t>分</w:t>
      </w:r>
      <w:r>
        <w:rPr>
          <w:rFonts w:hint="eastAsia" w:ascii="仿宋_GB2312" w:hAnsi="仿宋_GB2312"/>
        </w:rPr>
        <w:t>。</w:t>
      </w:r>
    </w:p>
    <w:p>
      <w:pPr>
        <w:adjustRightInd w:val="0"/>
        <w:snapToGrid w:val="0"/>
        <w:spacing w:line="560" w:lineRule="exact"/>
        <w:ind w:firstLine="643" w:firstLineChars="200"/>
        <w:outlineLvl w:val="0"/>
        <w:rPr>
          <w:rFonts w:ascii="楷体_GB2312" w:eastAsia="楷体_GB2312" w:cs="楷体_GB2312"/>
          <w:b/>
          <w:bCs/>
          <w:sz w:val="32"/>
          <w:szCs w:val="32"/>
        </w:rPr>
      </w:pPr>
      <w:bookmarkStart w:id="16" w:name="_Toc82783083"/>
      <w:r>
        <w:rPr>
          <w:rFonts w:hint="eastAsia" w:ascii="楷体_GB2312" w:eastAsia="楷体_GB2312" w:cs="楷体_GB2312"/>
          <w:b/>
          <w:bCs/>
          <w:sz w:val="32"/>
          <w:szCs w:val="32"/>
        </w:rPr>
        <w:t>（三）项目产出情况。</w:t>
      </w:r>
      <w:bookmarkEnd w:id="16"/>
    </w:p>
    <w:p>
      <w:pPr>
        <w:rPr>
          <w:rFonts w:ascii="仿宋_GB2312"/>
          <w:b/>
          <w:bCs/>
        </w:rPr>
      </w:pPr>
      <w:r>
        <w:rPr>
          <w:rFonts w:hint="eastAsia" w:ascii="仿宋_GB2312"/>
          <w:b/>
          <w:bCs/>
        </w:rPr>
        <w:t>项目产出指标分值共计</w:t>
      </w:r>
      <w:r>
        <w:rPr>
          <w:rFonts w:ascii="仿宋_GB2312"/>
          <w:b/>
          <w:bCs/>
        </w:rPr>
        <w:t>32</w:t>
      </w:r>
      <w:r>
        <w:rPr>
          <w:rFonts w:hint="eastAsia" w:ascii="仿宋_GB2312"/>
          <w:b/>
          <w:bCs/>
        </w:rPr>
        <w:t>分，本项目实际得分为</w:t>
      </w:r>
      <w:r>
        <w:rPr>
          <w:rFonts w:ascii="仿宋_GB2312"/>
          <w:b/>
          <w:bCs/>
        </w:rPr>
        <w:t>31.94</w:t>
      </w:r>
      <w:r>
        <w:rPr>
          <w:rFonts w:hint="eastAsia" w:ascii="仿宋_GB2312"/>
          <w:b/>
          <w:bCs/>
        </w:rPr>
        <w:t>分</w:t>
      </w:r>
    </w:p>
    <w:p>
      <w:pPr>
        <w:spacing w:line="560" w:lineRule="exact"/>
        <w:ind w:firstLine="600" w:firstLineChars="200"/>
        <w:rPr>
          <w:rFonts w:ascii="仿宋_GB2312"/>
        </w:rPr>
      </w:pPr>
      <w:r>
        <w:rPr>
          <w:rFonts w:hint="eastAsia" w:ascii="仿宋_GB2312"/>
        </w:rPr>
        <w:t>1</w:t>
      </w:r>
      <w:r>
        <w:rPr>
          <w:rFonts w:ascii="仿宋_GB2312"/>
        </w:rPr>
        <w:t>.</w:t>
      </w:r>
      <w:r>
        <w:rPr>
          <w:rFonts w:hint="eastAsia" w:ascii="仿宋_GB2312"/>
        </w:rPr>
        <w:t>产出数量</w:t>
      </w:r>
    </w:p>
    <w:p>
      <w:pPr>
        <w:spacing w:line="560" w:lineRule="exact"/>
        <w:ind w:firstLine="600" w:firstLineChars="200"/>
        <w:rPr>
          <w:rFonts w:ascii="仿宋_GB2312"/>
        </w:rPr>
      </w:pPr>
      <w:r>
        <w:rPr>
          <w:rFonts w:hint="eastAsia" w:ascii="仿宋_GB2312"/>
        </w:rPr>
        <w:t>截至2</w:t>
      </w:r>
      <w:r>
        <w:rPr>
          <w:rFonts w:ascii="仿宋_GB2312"/>
        </w:rPr>
        <w:t>020</w:t>
      </w:r>
      <w:r>
        <w:rPr>
          <w:rFonts w:hint="eastAsia" w:ascii="仿宋_GB2312"/>
        </w:rPr>
        <w:t>年末，项目数量目标完成情况良好，完成财务软件系统和报销单据软件系统共计2个系统的运行维护工作。依据评分标准，此项指标得满分。</w:t>
      </w:r>
    </w:p>
    <w:p>
      <w:pPr>
        <w:spacing w:line="560" w:lineRule="exact"/>
        <w:ind w:firstLine="600" w:firstLineChars="200"/>
        <w:rPr>
          <w:rFonts w:ascii="仿宋_GB2312"/>
        </w:rPr>
      </w:pPr>
      <w:r>
        <w:rPr>
          <w:rFonts w:hint="eastAsia" w:ascii="仿宋_GB2312"/>
        </w:rPr>
        <w:t>2</w:t>
      </w:r>
      <w:r>
        <w:rPr>
          <w:rFonts w:ascii="仿宋_GB2312"/>
        </w:rPr>
        <w:t>.</w:t>
      </w:r>
      <w:r>
        <w:rPr>
          <w:rFonts w:hint="eastAsia" w:ascii="仿宋_GB2312"/>
        </w:rPr>
        <w:t>产出质量</w:t>
      </w:r>
    </w:p>
    <w:p>
      <w:pPr>
        <w:spacing w:line="560" w:lineRule="exact"/>
        <w:ind w:firstLine="600" w:firstLineChars="200"/>
        <w:rPr>
          <w:rFonts w:ascii="仿宋_GB2312"/>
        </w:rPr>
      </w:pPr>
      <w:r>
        <w:rPr>
          <w:rFonts w:ascii="仿宋_GB2312"/>
        </w:rPr>
        <w:t>2020</w:t>
      </w:r>
      <w:r>
        <w:rPr>
          <w:rFonts w:hint="eastAsia" w:ascii="仿宋_GB2312"/>
        </w:rPr>
        <w:t>年度，</w:t>
      </w:r>
      <w:r>
        <w:rPr>
          <w:rFonts w:ascii="仿宋_GB2312"/>
        </w:rPr>
        <w:t>2</w:t>
      </w:r>
      <w:r>
        <w:rPr>
          <w:rFonts w:hint="eastAsia" w:ascii="仿宋_GB2312"/>
        </w:rPr>
        <w:t>个系统完成运维工作，运维人员及时、高质量地解决了系统使用过程中出现的问题，故障排除率1</w:t>
      </w:r>
      <w:r>
        <w:rPr>
          <w:rFonts w:ascii="仿宋_GB2312"/>
        </w:rPr>
        <w:t>00%</w:t>
      </w:r>
      <w:r>
        <w:rPr>
          <w:rFonts w:hint="eastAsia" w:ascii="仿宋_GB2312"/>
        </w:rPr>
        <w:t>，未出现因系统故障未及时排除解决导致单位集中核算业务无法开展的情况。依据评分标准，此项指标得满分。</w:t>
      </w:r>
    </w:p>
    <w:p>
      <w:pPr>
        <w:spacing w:line="560" w:lineRule="exact"/>
        <w:ind w:firstLine="600" w:firstLineChars="200"/>
        <w:rPr>
          <w:rFonts w:ascii="仿宋_GB2312"/>
        </w:rPr>
      </w:pPr>
      <w:r>
        <w:rPr>
          <w:rFonts w:hint="eastAsia" w:ascii="仿宋_GB2312"/>
        </w:rPr>
        <w:t>3</w:t>
      </w:r>
      <w:r>
        <w:rPr>
          <w:rFonts w:ascii="仿宋_GB2312"/>
        </w:rPr>
        <w:t>.</w:t>
      </w:r>
      <w:r>
        <w:rPr>
          <w:rFonts w:hint="eastAsia" w:ascii="仿宋_GB2312"/>
        </w:rPr>
        <w:t>产出时效</w:t>
      </w:r>
    </w:p>
    <w:p>
      <w:pPr>
        <w:spacing w:line="560" w:lineRule="exact"/>
        <w:ind w:firstLine="600" w:firstLineChars="200"/>
        <w:rPr>
          <w:rFonts w:ascii="仿宋_GB2312"/>
        </w:rPr>
      </w:pPr>
      <w:r>
        <w:rPr>
          <w:rFonts w:hint="eastAsia" w:ascii="仿宋_GB2312"/>
        </w:rPr>
        <w:t>截至2</w:t>
      </w:r>
      <w:r>
        <w:rPr>
          <w:rFonts w:ascii="仿宋_GB2312"/>
        </w:rPr>
        <w:t>020</w:t>
      </w:r>
      <w:r>
        <w:rPr>
          <w:rFonts w:hint="eastAsia" w:ascii="仿宋_GB2312"/>
        </w:rPr>
        <w:t>年底，2个系统全年正常运转，运维人员根据系统实际故障情况，提供可行性技术解决方案，并按照故障级别在规定的时限（如下表4所示）进行解决，确保了2个系统运行顺畅，达到了预期的时效目标。依据评分标准，此项指标得满分。</w:t>
      </w:r>
    </w:p>
    <w:p>
      <w:pPr>
        <w:widowControl/>
        <w:jc w:val="center"/>
        <w:rPr>
          <w:rFonts w:ascii="黑体" w:hAnsi="黑体" w:eastAsia="黑体" w:cs="黑体"/>
          <w:color w:val="000000"/>
          <w:kern w:val="0"/>
          <w:sz w:val="28"/>
          <w:szCs w:val="28"/>
          <w:shd w:val="clear" w:color="auto" w:fill="FFFFFF"/>
        </w:rPr>
      </w:pPr>
      <w:r>
        <w:rPr>
          <w:rFonts w:hint="eastAsia" w:ascii="黑体" w:hAnsi="黑体" w:eastAsia="黑体" w:cs="黑体"/>
          <w:color w:val="000000"/>
          <w:kern w:val="0"/>
          <w:sz w:val="28"/>
          <w:szCs w:val="28"/>
          <w:shd w:val="clear" w:color="auto" w:fill="FFFFFF"/>
        </w:rPr>
        <w:t>表</w:t>
      </w:r>
      <w:r>
        <w:rPr>
          <w:rFonts w:ascii="黑体" w:hAnsi="黑体" w:eastAsia="黑体" w:cs="黑体"/>
          <w:color w:val="000000"/>
          <w:kern w:val="0"/>
          <w:sz w:val="28"/>
          <w:szCs w:val="28"/>
          <w:shd w:val="clear" w:color="auto" w:fill="FFFFFF"/>
        </w:rPr>
        <w:t>4</w:t>
      </w:r>
      <w:r>
        <w:rPr>
          <w:rFonts w:hint="eastAsia" w:ascii="黑体" w:hAnsi="黑体" w:eastAsia="黑体" w:cs="黑体"/>
          <w:color w:val="000000"/>
          <w:kern w:val="0"/>
          <w:sz w:val="28"/>
          <w:szCs w:val="28"/>
          <w:shd w:val="clear" w:color="auto" w:fill="FFFFFF"/>
        </w:rPr>
        <w:t>：问题分级处理机制表</w:t>
      </w:r>
    </w:p>
    <w:tbl>
      <w:tblPr>
        <w:tblStyle w:val="12"/>
        <w:tblW w:w="10065"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842"/>
        <w:gridCol w:w="1418"/>
        <w:gridCol w:w="141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故障级别</w:t>
            </w:r>
          </w:p>
        </w:tc>
        <w:tc>
          <w:tcPr>
            <w:tcW w:w="1842" w:type="dxa"/>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响应角色</w:t>
            </w:r>
          </w:p>
        </w:tc>
        <w:tc>
          <w:tcPr>
            <w:tcW w:w="1418" w:type="dxa"/>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响应时限</w:t>
            </w:r>
          </w:p>
        </w:tc>
        <w:tc>
          <w:tcPr>
            <w:tcW w:w="1417" w:type="dxa"/>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解决时限</w:t>
            </w:r>
          </w:p>
        </w:tc>
        <w:tc>
          <w:tcPr>
            <w:tcW w:w="3969" w:type="dxa"/>
          </w:tcPr>
          <w:p>
            <w:pPr>
              <w:widowControl/>
              <w:jc w:val="center"/>
              <w:rPr>
                <w:rFonts w:ascii="仿宋_GB2312" w:hAnsi="宋体" w:cs="宋体"/>
                <w:b/>
                <w:bCs/>
                <w:color w:val="000000"/>
                <w:kern w:val="0"/>
                <w:sz w:val="24"/>
              </w:rPr>
            </w:pPr>
            <w:r>
              <w:rPr>
                <w:rFonts w:hint="eastAsia" w:ascii="仿宋_GB2312" w:hAnsi="宋体" w:cs="宋体"/>
                <w:b/>
                <w:bCs/>
                <w:color w:val="000000"/>
                <w:kern w:val="0"/>
                <w:sz w:val="24"/>
              </w:rPr>
              <w:t>故障描述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一级故障</w:t>
            </w:r>
          </w:p>
        </w:tc>
        <w:tc>
          <w:tcPr>
            <w:tcW w:w="1842"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项目领导组</w:t>
            </w: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1小时</w:t>
            </w:r>
          </w:p>
        </w:tc>
        <w:tc>
          <w:tcPr>
            <w:tcW w:w="1417"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2小时</w:t>
            </w:r>
          </w:p>
        </w:tc>
        <w:tc>
          <w:tcPr>
            <w:tcW w:w="3969" w:type="dxa"/>
          </w:tcPr>
          <w:p>
            <w:pPr>
              <w:widowControl/>
              <w:ind w:firstLine="480" w:firstLineChars="200"/>
              <w:jc w:val="left"/>
              <w:rPr>
                <w:rFonts w:ascii="仿宋_GB2312" w:hAnsi="宋体" w:cs="宋体"/>
                <w:color w:val="000000"/>
                <w:kern w:val="0"/>
                <w:sz w:val="24"/>
              </w:rPr>
            </w:pPr>
            <w:r>
              <w:rPr>
                <w:rFonts w:hint="eastAsia" w:ascii="仿宋_GB2312" w:hAnsi="宋体" w:cs="宋体"/>
                <w:color w:val="000000"/>
                <w:kern w:val="0"/>
                <w:sz w:val="24"/>
              </w:rPr>
              <w:t>系统出现严重异常，关键功能无法使用，导致用户日常业务无法正常开展，需要立即排除。如：业务单据无法保存。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二级故障</w:t>
            </w:r>
          </w:p>
        </w:tc>
        <w:tc>
          <w:tcPr>
            <w:tcW w:w="1842"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服务经理</w:t>
            </w: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1小时</w:t>
            </w:r>
          </w:p>
        </w:tc>
        <w:tc>
          <w:tcPr>
            <w:tcW w:w="1417"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4小时</w:t>
            </w:r>
          </w:p>
        </w:tc>
        <w:tc>
          <w:tcPr>
            <w:tcW w:w="3969" w:type="dxa"/>
          </w:tcPr>
          <w:p>
            <w:pPr>
              <w:widowControl/>
              <w:ind w:firstLine="480" w:firstLineChars="200"/>
              <w:jc w:val="left"/>
              <w:rPr>
                <w:rFonts w:ascii="仿宋_GB2312" w:hAnsi="宋体" w:cs="宋体"/>
                <w:color w:val="000000"/>
                <w:kern w:val="0"/>
                <w:sz w:val="24"/>
              </w:rPr>
            </w:pPr>
            <w:r>
              <w:rPr>
                <w:rFonts w:hint="eastAsia" w:ascii="仿宋_GB2312" w:hAnsi="宋体" w:cs="宋体"/>
                <w:color w:val="000000"/>
                <w:kern w:val="0"/>
                <w:sz w:val="24"/>
              </w:rPr>
              <w:t>系统部分功能出现问题，部分功能无法正常使用，基本不影响日常业务的开展。如：查询功能出错。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三级故障</w:t>
            </w:r>
          </w:p>
        </w:tc>
        <w:tc>
          <w:tcPr>
            <w:tcW w:w="1842"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高级工程师</w:t>
            </w: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2小时</w:t>
            </w:r>
          </w:p>
        </w:tc>
        <w:tc>
          <w:tcPr>
            <w:tcW w:w="1417"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1工作日</w:t>
            </w:r>
          </w:p>
        </w:tc>
        <w:tc>
          <w:tcPr>
            <w:tcW w:w="3969" w:type="dxa"/>
          </w:tcPr>
          <w:p>
            <w:pPr>
              <w:widowControl/>
              <w:ind w:firstLine="480" w:firstLineChars="200"/>
              <w:jc w:val="left"/>
              <w:rPr>
                <w:rFonts w:ascii="仿宋_GB2312" w:hAnsi="宋体" w:cs="宋体"/>
                <w:color w:val="000000"/>
                <w:kern w:val="0"/>
                <w:sz w:val="24"/>
              </w:rPr>
            </w:pPr>
            <w:r>
              <w:rPr>
                <w:rFonts w:hint="eastAsia" w:ascii="仿宋_GB2312" w:hAnsi="宋体" w:cs="宋体"/>
                <w:color w:val="000000"/>
                <w:kern w:val="0"/>
                <w:sz w:val="24"/>
              </w:rPr>
              <w:t>系统部分功能出现问题，不影响用户的基本功能的使用，且有规避的解决方案。如：显示不正确。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四级故障</w:t>
            </w:r>
          </w:p>
        </w:tc>
        <w:tc>
          <w:tcPr>
            <w:tcW w:w="1842"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一线工程师</w:t>
            </w:r>
          </w:p>
        </w:tc>
        <w:tc>
          <w:tcPr>
            <w:tcW w:w="1418"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2小时</w:t>
            </w:r>
          </w:p>
        </w:tc>
        <w:tc>
          <w:tcPr>
            <w:tcW w:w="1417" w:type="dxa"/>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3工作日</w:t>
            </w:r>
          </w:p>
        </w:tc>
        <w:tc>
          <w:tcPr>
            <w:tcW w:w="3969" w:type="dxa"/>
          </w:tcPr>
          <w:p>
            <w:pPr>
              <w:widowControl/>
              <w:ind w:firstLine="480" w:firstLineChars="200"/>
              <w:jc w:val="left"/>
              <w:rPr>
                <w:rFonts w:ascii="仿宋_GB2312" w:hAnsi="宋体" w:cs="宋体"/>
                <w:color w:val="000000"/>
                <w:kern w:val="0"/>
                <w:sz w:val="24"/>
              </w:rPr>
            </w:pPr>
            <w:r>
              <w:rPr>
                <w:rFonts w:hint="eastAsia" w:ascii="仿宋_GB2312" w:hAnsi="宋体" w:cs="宋体"/>
                <w:color w:val="000000"/>
                <w:kern w:val="0"/>
                <w:sz w:val="24"/>
              </w:rPr>
              <w:t>具体一个功能上出现bug，有待改进和优化，不影响使用。如：提示不准确。</w:t>
            </w:r>
          </w:p>
        </w:tc>
      </w:tr>
    </w:tbl>
    <w:p>
      <w:pPr>
        <w:spacing w:line="560" w:lineRule="exact"/>
        <w:ind w:firstLine="600" w:firstLineChars="200"/>
        <w:rPr>
          <w:rFonts w:ascii="仿宋_GB2312"/>
        </w:rPr>
      </w:pPr>
      <w:r>
        <w:rPr>
          <w:rFonts w:hint="eastAsia" w:ascii="仿宋_GB2312"/>
        </w:rPr>
        <w:t>4</w:t>
      </w:r>
      <w:r>
        <w:rPr>
          <w:rFonts w:ascii="仿宋_GB2312"/>
        </w:rPr>
        <w:t>.</w:t>
      </w:r>
      <w:r>
        <w:rPr>
          <w:rFonts w:hint="eastAsia" w:ascii="仿宋_GB2312"/>
        </w:rPr>
        <w:t>产出成本</w:t>
      </w:r>
    </w:p>
    <w:p>
      <w:pPr>
        <w:spacing w:line="560" w:lineRule="exact"/>
        <w:ind w:firstLine="600" w:firstLineChars="200"/>
        <w:rPr>
          <w:rFonts w:ascii="仿宋_GB2312"/>
        </w:rPr>
      </w:pPr>
      <w:r>
        <w:rPr>
          <w:rFonts w:hint="eastAsia" w:ascii="仿宋_GB2312"/>
        </w:rPr>
        <w:t>2</w:t>
      </w:r>
      <w:r>
        <w:rPr>
          <w:rFonts w:ascii="仿宋_GB2312"/>
        </w:rPr>
        <w:t>020</w:t>
      </w:r>
      <w:r>
        <w:rPr>
          <w:rFonts w:hint="eastAsia" w:ascii="仿宋_GB2312"/>
        </w:rPr>
        <w:t>年度，本项目全年预算</w:t>
      </w:r>
      <w:r>
        <w:rPr>
          <w:rFonts w:ascii="仿宋_GB2312"/>
        </w:rPr>
        <w:t>36.6</w:t>
      </w:r>
      <w:r>
        <w:rPr>
          <w:rFonts w:hint="eastAsia" w:ascii="仿宋_GB2312"/>
        </w:rPr>
        <w:t>万元，实际支出</w:t>
      </w:r>
      <w:r>
        <w:rPr>
          <w:rFonts w:ascii="仿宋_GB2312"/>
        </w:rPr>
        <w:t>36.58</w:t>
      </w:r>
      <w:r>
        <w:rPr>
          <w:rFonts w:hint="eastAsia" w:ascii="仿宋_GB2312"/>
        </w:rPr>
        <w:t>万元，项目成本控制在年度预算指标内，依据评分标准，此项指标6分，实际得分</w:t>
      </w:r>
      <w:r>
        <w:rPr>
          <w:rFonts w:ascii="仿宋_GB2312"/>
        </w:rPr>
        <w:t>5.94</w:t>
      </w:r>
      <w:r>
        <w:rPr>
          <w:rFonts w:hint="eastAsia" w:ascii="仿宋_GB2312"/>
        </w:rPr>
        <w:t>分。</w:t>
      </w:r>
    </w:p>
    <w:p>
      <w:pPr>
        <w:adjustRightInd w:val="0"/>
        <w:snapToGrid w:val="0"/>
        <w:spacing w:line="560" w:lineRule="exact"/>
        <w:ind w:firstLine="643" w:firstLineChars="200"/>
        <w:outlineLvl w:val="0"/>
        <w:rPr>
          <w:rFonts w:ascii="楷体_GB2312" w:eastAsia="楷体_GB2312" w:cs="楷体_GB2312"/>
          <w:b/>
          <w:bCs/>
          <w:sz w:val="32"/>
          <w:szCs w:val="32"/>
        </w:rPr>
      </w:pPr>
      <w:bookmarkStart w:id="17" w:name="_Toc82783084"/>
      <w:r>
        <w:rPr>
          <w:rFonts w:hint="eastAsia" w:ascii="楷体_GB2312" w:eastAsia="楷体_GB2312" w:cs="楷体_GB2312"/>
          <w:b/>
          <w:bCs/>
          <w:sz w:val="32"/>
          <w:szCs w:val="32"/>
        </w:rPr>
        <w:t>（四）项目效益情况。</w:t>
      </w:r>
      <w:bookmarkEnd w:id="17"/>
    </w:p>
    <w:p>
      <w:pPr>
        <w:spacing w:line="560" w:lineRule="exact"/>
        <w:ind w:firstLine="600" w:firstLineChars="200"/>
        <w:rPr>
          <w:rFonts w:ascii="仿宋_GB2312"/>
        </w:rPr>
      </w:pPr>
      <w:r>
        <w:rPr>
          <w:rFonts w:hint="eastAsia" w:ascii="仿宋_GB2312"/>
        </w:rPr>
        <w:t>项目效益指标分值共计</w:t>
      </w:r>
      <w:r>
        <w:rPr>
          <w:rFonts w:ascii="仿宋_GB2312"/>
        </w:rPr>
        <w:t>28</w:t>
      </w:r>
      <w:r>
        <w:rPr>
          <w:rFonts w:hint="eastAsia" w:ascii="仿宋_GB2312"/>
        </w:rPr>
        <w:t>分，本项目实际得分为</w:t>
      </w:r>
      <w:r>
        <w:rPr>
          <w:rFonts w:ascii="仿宋_GB2312"/>
        </w:rPr>
        <w:t>26.7</w:t>
      </w:r>
      <w:r>
        <w:rPr>
          <w:rFonts w:hint="eastAsia" w:ascii="仿宋_GB2312"/>
        </w:rPr>
        <w:t>分</w:t>
      </w:r>
    </w:p>
    <w:p>
      <w:pPr>
        <w:spacing w:line="560" w:lineRule="exact"/>
        <w:ind w:firstLine="600" w:firstLineChars="200"/>
        <w:rPr>
          <w:rFonts w:ascii="仿宋_GB2312"/>
        </w:rPr>
      </w:pPr>
      <w:r>
        <w:rPr>
          <w:rFonts w:hint="eastAsia" w:ascii="仿宋_GB2312"/>
        </w:rPr>
        <w:t>1</w:t>
      </w:r>
      <w:r>
        <w:rPr>
          <w:rFonts w:ascii="仿宋_GB2312"/>
        </w:rPr>
        <w:t>.</w:t>
      </w:r>
      <w:r>
        <w:rPr>
          <w:rFonts w:hint="eastAsia" w:ascii="仿宋_GB2312"/>
        </w:rPr>
        <w:t>实施效益</w:t>
      </w:r>
    </w:p>
    <w:p>
      <w:pPr>
        <w:spacing w:line="560" w:lineRule="exact"/>
        <w:ind w:firstLine="600" w:firstLineChars="200"/>
        <w:rPr>
          <w:rFonts w:ascii="仿宋_GB2312"/>
        </w:rPr>
      </w:pPr>
      <w:r>
        <w:rPr>
          <w:rFonts w:hint="eastAsia" w:ascii="仿宋_GB2312"/>
        </w:rPr>
        <w:t>2</w:t>
      </w:r>
      <w:r>
        <w:rPr>
          <w:rFonts w:ascii="仿宋_GB2312"/>
        </w:rPr>
        <w:t>020</w:t>
      </w:r>
      <w:r>
        <w:rPr>
          <w:rFonts w:hint="eastAsia" w:ascii="仿宋_GB2312"/>
        </w:rPr>
        <w:t>年度，信息系统的有效维护，一是促进了全区的财务信息共享和全区的资金使用分析，为提高全区的资金使用效率提供了基本的数据支撑，提高了财政部门对财政资金使用安全有效的保障能力；二是确保了运用信息化手段全程管控财政资金，有利于财务、资金实时监控，提高了财政风险管控能力；三是保障了幼儿园“民转公”工作要求以及新增工会帐套核算需要，对实现了全区财务信息的集成化管理具有深远的影响。预期的效益目标基本达成，依据评分标准，此项指标得满分。</w:t>
      </w:r>
    </w:p>
    <w:p>
      <w:pPr>
        <w:spacing w:line="560" w:lineRule="exact"/>
        <w:ind w:firstLine="600" w:firstLineChars="200"/>
        <w:rPr>
          <w:rFonts w:ascii="仿宋_GB2312"/>
        </w:rPr>
      </w:pPr>
      <w:r>
        <w:rPr>
          <w:rFonts w:hint="eastAsia" w:ascii="仿宋_GB2312"/>
        </w:rPr>
        <w:t>2</w:t>
      </w:r>
      <w:r>
        <w:rPr>
          <w:rFonts w:ascii="仿宋_GB2312"/>
        </w:rPr>
        <w:t>.</w:t>
      </w:r>
      <w:r>
        <w:rPr>
          <w:rFonts w:hint="eastAsia" w:ascii="仿宋_GB2312"/>
        </w:rPr>
        <w:t>满意度</w:t>
      </w:r>
    </w:p>
    <w:p>
      <w:pPr>
        <w:spacing w:line="560" w:lineRule="exact"/>
        <w:ind w:firstLine="600" w:firstLineChars="200"/>
        <w:rPr>
          <w:rFonts w:ascii="仿宋_GB2312"/>
        </w:rPr>
      </w:pPr>
      <w:r>
        <w:rPr>
          <w:rFonts w:hint="eastAsia" w:ascii="仿宋_GB2312"/>
        </w:rPr>
        <w:t>20</w:t>
      </w:r>
      <w:r>
        <w:rPr>
          <w:rFonts w:ascii="仿宋_GB2312"/>
        </w:rPr>
        <w:t>20</w:t>
      </w:r>
      <w:r>
        <w:rPr>
          <w:rFonts w:hint="eastAsia" w:ascii="仿宋_GB2312"/>
        </w:rPr>
        <w:t>年度，以线上无记名问卷调查的形式面向软件的适用对象进行问卷调查。《调查报告》显示：2020年度系统运行速度的满意程度为</w:t>
      </w:r>
      <w:r>
        <w:rPr>
          <w:rFonts w:ascii="仿宋_GB2312"/>
        </w:rPr>
        <w:t>65.85</w:t>
      </w:r>
      <w:r>
        <w:rPr>
          <w:rFonts w:hint="eastAsia" w:ascii="仿宋_GB2312"/>
        </w:rPr>
        <w:t>%，对系统功能全面性的满意程度为</w:t>
      </w:r>
      <w:r>
        <w:rPr>
          <w:rFonts w:ascii="仿宋_GB2312"/>
        </w:rPr>
        <w:t>67</w:t>
      </w:r>
      <w:r>
        <w:rPr>
          <w:rFonts w:hint="eastAsia" w:ascii="仿宋_GB2312"/>
        </w:rPr>
        <w:t>.</w:t>
      </w:r>
      <w:r>
        <w:rPr>
          <w:rFonts w:ascii="仿宋_GB2312"/>
        </w:rPr>
        <w:t>07</w:t>
      </w:r>
      <w:r>
        <w:rPr>
          <w:rFonts w:hint="eastAsia" w:ascii="仿宋_GB2312"/>
        </w:rPr>
        <w:t>%。系统稳定性的满意程度是</w:t>
      </w:r>
      <w:r>
        <w:rPr>
          <w:rFonts w:ascii="仿宋_GB2312"/>
        </w:rPr>
        <w:t>57.31</w:t>
      </w:r>
      <w:r>
        <w:rPr>
          <w:rFonts w:hint="eastAsia" w:ascii="仿宋_GB2312"/>
        </w:rPr>
        <w:t>%，系统故障出现的频率（包括偶尔和频繁）为8</w:t>
      </w:r>
      <w:r>
        <w:rPr>
          <w:rFonts w:ascii="仿宋_GB2312"/>
        </w:rPr>
        <w:t>2.93%</w:t>
      </w:r>
      <w:r>
        <w:rPr>
          <w:rFonts w:hint="eastAsia" w:ascii="仿宋_GB2312"/>
        </w:rPr>
        <w:t>，系统维护效率的满意程度7</w:t>
      </w:r>
      <w:r>
        <w:rPr>
          <w:rFonts w:ascii="仿宋_GB2312"/>
        </w:rPr>
        <w:t>9.27%</w:t>
      </w:r>
      <w:r>
        <w:rPr>
          <w:rFonts w:hint="eastAsia" w:ascii="仿宋_GB2312"/>
        </w:rPr>
        <w:t>，系统维护人员响应修障效率的满意程度为7</w:t>
      </w:r>
      <w:r>
        <w:rPr>
          <w:rFonts w:ascii="仿宋_GB2312"/>
        </w:rPr>
        <w:t>9.27%</w:t>
      </w:r>
      <w:r>
        <w:rPr>
          <w:rFonts w:hint="eastAsia" w:ascii="仿宋_GB2312"/>
        </w:rPr>
        <w:t>，信息维护系统工作的整体满意程度为8</w:t>
      </w:r>
      <w:r>
        <w:rPr>
          <w:rFonts w:ascii="仿宋_GB2312"/>
        </w:rPr>
        <w:t>7.81%</w:t>
      </w:r>
      <w:r>
        <w:rPr>
          <w:rFonts w:hint="eastAsia" w:ascii="仿宋_GB2312"/>
        </w:rPr>
        <w:t>。说明</w:t>
      </w:r>
      <w:bookmarkStart w:id="18" w:name="_Hlk82783279"/>
      <w:r>
        <w:rPr>
          <w:rFonts w:hint="eastAsia" w:ascii="仿宋_GB2312"/>
        </w:rPr>
        <w:t>信息系统的运行速度、系统的稳定性、系统功能的全面性仍存在一定的待提升空间</w:t>
      </w:r>
      <w:bookmarkEnd w:id="18"/>
      <w:r>
        <w:rPr>
          <w:rFonts w:hint="eastAsia" w:ascii="仿宋_GB2312"/>
        </w:rPr>
        <w:t>。依据评分标准，此项指标</w:t>
      </w:r>
      <w:r>
        <w:rPr>
          <w:rFonts w:ascii="仿宋_GB2312"/>
        </w:rPr>
        <w:t>10</w:t>
      </w:r>
      <w:r>
        <w:rPr>
          <w:rFonts w:hint="eastAsia" w:ascii="仿宋_GB2312"/>
        </w:rPr>
        <w:t>分，实际得分</w:t>
      </w:r>
      <w:r>
        <w:rPr>
          <w:rFonts w:ascii="仿宋_GB2312"/>
        </w:rPr>
        <w:t>8.7</w:t>
      </w:r>
      <w:r>
        <w:rPr>
          <w:rFonts w:hint="eastAsia" w:ascii="仿宋_GB2312"/>
        </w:rPr>
        <w:t>分。</w:t>
      </w:r>
    </w:p>
    <w:p>
      <w:pPr>
        <w:spacing w:line="600" w:lineRule="exact"/>
        <w:ind w:firstLine="643" w:firstLineChars="200"/>
        <w:outlineLvl w:val="0"/>
        <w:rPr>
          <w:rFonts w:ascii="黑体" w:hAnsi="黑体" w:eastAsia="黑体"/>
          <w:b/>
          <w:bCs/>
          <w:sz w:val="32"/>
          <w:szCs w:val="32"/>
        </w:rPr>
      </w:pPr>
      <w:bookmarkStart w:id="19" w:name="_Toc82783085"/>
      <w:r>
        <w:rPr>
          <w:rFonts w:hint="eastAsia" w:ascii="黑体" w:hAnsi="黑体" w:eastAsia="黑体"/>
          <w:b/>
          <w:bCs/>
          <w:sz w:val="32"/>
          <w:szCs w:val="32"/>
        </w:rPr>
        <w:t>五、主要经验及做法</w:t>
      </w:r>
      <w:bookmarkEnd w:id="19"/>
    </w:p>
    <w:p>
      <w:pPr>
        <w:spacing w:line="560" w:lineRule="exact"/>
        <w:ind w:firstLine="600" w:firstLineChars="200"/>
        <w:rPr>
          <w:rFonts w:ascii="仿宋_GB2312"/>
        </w:rPr>
      </w:pPr>
      <w:r>
        <w:rPr>
          <w:rFonts w:hint="eastAsia" w:ascii="仿宋_GB2312"/>
        </w:rPr>
        <w:t>根据项目特点，反映项目在决策、实施、监管和资金拨付使用的全过程中取得的成效，职能部门和项目单位在工作路径、方式、方法等方面的创新以及可推广、可复制的经验，社会公众或服务对象的满意度等。</w:t>
      </w:r>
    </w:p>
    <w:p>
      <w:pPr>
        <w:spacing w:line="560" w:lineRule="exact"/>
        <w:ind w:firstLine="600" w:firstLineChars="200"/>
        <w:rPr>
          <w:rFonts w:ascii="仿宋_GB2312"/>
        </w:rPr>
      </w:pPr>
      <w:r>
        <w:rPr>
          <w:rFonts w:hint="eastAsia" w:ascii="仿宋_GB2312"/>
        </w:rPr>
        <w:t>1</w:t>
      </w:r>
      <w:r>
        <w:rPr>
          <w:rFonts w:ascii="仿宋_GB2312"/>
        </w:rPr>
        <w:t>.</w:t>
      </w:r>
      <w:r>
        <w:rPr>
          <w:rFonts w:hint="eastAsia" w:ascii="仿宋_GB2312"/>
        </w:rPr>
        <w:t>项目实施全过程绩效管理</w:t>
      </w:r>
    </w:p>
    <w:p>
      <w:pPr>
        <w:spacing w:line="560" w:lineRule="exact"/>
        <w:ind w:firstLine="600" w:firstLineChars="200"/>
        <w:rPr>
          <w:rFonts w:ascii="仿宋_GB2312"/>
        </w:rPr>
      </w:pPr>
      <w:r>
        <w:rPr>
          <w:rFonts w:hint="eastAsia" w:ascii="仿宋_GB2312"/>
        </w:rPr>
        <w:t>2</w:t>
      </w:r>
      <w:r>
        <w:rPr>
          <w:rFonts w:ascii="仿宋_GB2312"/>
        </w:rPr>
        <w:t>020</w:t>
      </w:r>
      <w:r>
        <w:rPr>
          <w:rFonts w:hint="eastAsia" w:ascii="仿宋_GB2312"/>
        </w:rPr>
        <w:t>年度，信息系统维护项目在年初设置了绩效目标，并将绩效目标进一步分解，设置产出和效益指标；在年中，依据年初设置的绩效指标进行绩效监控工作，跟踪项目实施情况，针对项目实施偏离绩效目标的情况，认真分析、总结具体原因，并提出下一步纠正措施；年度终了，对项目绩效目标完成情况进行自评，总结分析经验教训，促进项目绩效情况的持续优化。</w:t>
      </w:r>
    </w:p>
    <w:p>
      <w:pPr>
        <w:spacing w:line="560" w:lineRule="exact"/>
        <w:ind w:firstLine="600" w:firstLineChars="200"/>
        <w:rPr>
          <w:rFonts w:ascii="仿宋_GB2312"/>
        </w:rPr>
      </w:pPr>
      <w:r>
        <w:rPr>
          <w:rFonts w:hint="eastAsia" w:ascii="仿宋_GB2312"/>
        </w:rPr>
        <w:t>2</w:t>
      </w:r>
      <w:r>
        <w:rPr>
          <w:rFonts w:ascii="仿宋_GB2312"/>
        </w:rPr>
        <w:t>.</w:t>
      </w:r>
      <w:r>
        <w:rPr>
          <w:rFonts w:hint="eastAsia" w:ascii="仿宋_GB2312"/>
        </w:rPr>
        <w:t>信息系统建设升级</w:t>
      </w:r>
      <w:bookmarkStart w:id="20" w:name="_Hlk77349292"/>
      <w:r>
        <w:rPr>
          <w:rFonts w:hint="eastAsia" w:ascii="仿宋_GB2312"/>
        </w:rPr>
        <w:t>保障了幼儿园“民转公”工作要求以及新增工会账套核算需要</w:t>
      </w:r>
      <w:bookmarkEnd w:id="20"/>
      <w:r>
        <w:rPr>
          <w:rFonts w:hint="eastAsia" w:ascii="仿宋_GB2312"/>
        </w:rPr>
        <w:t>。</w:t>
      </w:r>
    </w:p>
    <w:p>
      <w:pPr>
        <w:spacing w:line="560" w:lineRule="exact"/>
        <w:ind w:firstLine="600" w:firstLineChars="200"/>
        <w:rPr>
          <w:rFonts w:ascii="仿宋_GB2312"/>
        </w:rPr>
      </w:pPr>
      <w:r>
        <w:rPr>
          <w:rFonts w:hint="eastAsia" w:ascii="仿宋_GB2312"/>
        </w:rPr>
        <w:t>2</w:t>
      </w:r>
      <w:r>
        <w:rPr>
          <w:rFonts w:ascii="仿宋_GB2312"/>
        </w:rPr>
        <w:t>020</w:t>
      </w:r>
      <w:r>
        <w:rPr>
          <w:rFonts w:hint="eastAsia" w:ascii="仿宋_GB2312"/>
        </w:rPr>
        <w:t>年度，中心对财务软件进行升级，根据福田区政府关于幼儿园“民转公”工作要求以及新增工会账套核算需要，为幼儿园和工会账套新增账套数约300个，保障了民转公幼儿园和全区工会纳入集中核算工作的顺利进行。</w:t>
      </w:r>
    </w:p>
    <w:p>
      <w:pPr>
        <w:spacing w:line="560" w:lineRule="exact"/>
        <w:ind w:firstLine="600" w:firstLineChars="200"/>
        <w:rPr>
          <w:rFonts w:ascii="仿宋_GB2312"/>
        </w:rPr>
      </w:pPr>
      <w:r>
        <w:rPr>
          <w:rFonts w:ascii="仿宋_GB2312"/>
        </w:rPr>
        <w:t>3.</w:t>
      </w:r>
      <w:r>
        <w:rPr>
          <w:rFonts w:hint="eastAsia" w:ascii="仿宋_GB2312"/>
        </w:rPr>
        <w:t>奠定财政系统建设蓝图规划基础</w:t>
      </w:r>
    </w:p>
    <w:p>
      <w:pPr>
        <w:spacing w:line="560" w:lineRule="exact"/>
        <w:ind w:firstLine="600" w:firstLineChars="200"/>
        <w:rPr>
          <w:rFonts w:ascii="仿宋_GB2312"/>
        </w:rPr>
      </w:pPr>
      <w:r>
        <w:rPr>
          <w:rFonts w:hint="eastAsia" w:ascii="仿宋_GB2312"/>
        </w:rPr>
        <w:t>为紧密契合现代财政体系和改革发展需要，更好地解决我区财务系统存在的多个系统独立运行、系统间缺少互联互通、部分系统功能缺失、流程运行不够顺畅、数据共享困难等问题，中心开展财务共享及数字化建设规划课题研究，并经近一年的调研、走访，最终形成《福田区国库支付中心财务共享及数字化建设规划课题报告》，为中心未来财务系统建设做出蓝图规划建议。</w:t>
      </w:r>
    </w:p>
    <w:p>
      <w:pPr>
        <w:spacing w:line="600" w:lineRule="exact"/>
        <w:ind w:firstLine="643" w:firstLineChars="200"/>
        <w:outlineLvl w:val="0"/>
        <w:rPr>
          <w:rFonts w:ascii="黑体" w:hAnsi="黑体" w:eastAsia="黑体"/>
          <w:b/>
          <w:bCs/>
          <w:sz w:val="32"/>
          <w:szCs w:val="32"/>
        </w:rPr>
      </w:pPr>
      <w:bookmarkStart w:id="21" w:name="_Toc82783086"/>
      <w:r>
        <w:rPr>
          <w:rFonts w:hint="eastAsia" w:ascii="黑体" w:hAnsi="黑体" w:eastAsia="黑体"/>
          <w:b/>
          <w:bCs/>
          <w:sz w:val="32"/>
          <w:szCs w:val="32"/>
        </w:rPr>
        <w:t>六、存在的问题及原因分析</w:t>
      </w:r>
      <w:bookmarkEnd w:id="21"/>
    </w:p>
    <w:p>
      <w:pPr>
        <w:spacing w:line="560" w:lineRule="exact"/>
        <w:ind w:firstLine="600" w:firstLineChars="200"/>
        <w:rPr>
          <w:rFonts w:ascii="仿宋_GB2312"/>
        </w:rPr>
      </w:pPr>
      <w:r>
        <w:rPr>
          <w:rFonts w:hint="eastAsia" w:ascii="仿宋_GB2312"/>
        </w:rPr>
        <w:t>深入分析和反映项目在政策决策、组织实施、过程控制、监督管理以及预算编制和执行等方面的问题。</w:t>
      </w:r>
    </w:p>
    <w:p>
      <w:pPr>
        <w:spacing w:line="560" w:lineRule="exact"/>
        <w:ind w:firstLine="600" w:firstLineChars="200"/>
        <w:rPr>
          <w:rFonts w:ascii="仿宋_GB2312"/>
        </w:rPr>
      </w:pPr>
      <w:r>
        <w:rPr>
          <w:rFonts w:hint="eastAsia" w:ascii="仿宋_GB2312"/>
        </w:rPr>
        <w:t>1</w:t>
      </w:r>
      <w:r>
        <w:rPr>
          <w:rFonts w:ascii="仿宋_GB2312"/>
        </w:rPr>
        <w:t>.</w:t>
      </w:r>
      <w:r>
        <w:rPr>
          <w:rFonts w:hint="eastAsia" w:ascii="仿宋_GB2312"/>
        </w:rPr>
        <w:t>本项目在实施过程中的主要不足之处是绩效指标有待进一步完善。中心信息系统维护项目填报项目绩效目标申报表时，对效益指标理解不够到位，只填报服务对象满意度指标，未设置社会效益指标。</w:t>
      </w:r>
    </w:p>
    <w:p>
      <w:pPr>
        <w:spacing w:line="560" w:lineRule="exact"/>
        <w:ind w:firstLine="600" w:firstLineChars="200"/>
        <w:rPr>
          <w:rFonts w:ascii="仿宋_GB2312"/>
        </w:rPr>
      </w:pPr>
      <w:r>
        <w:rPr>
          <w:rFonts w:hint="eastAsia" w:ascii="仿宋_GB2312"/>
        </w:rPr>
        <w:t>2</w:t>
      </w:r>
      <w:r>
        <w:rPr>
          <w:rFonts w:ascii="仿宋_GB2312"/>
        </w:rPr>
        <w:t>.</w:t>
      </w:r>
      <w:r>
        <w:rPr>
          <w:rFonts w:hint="eastAsia" w:ascii="仿宋_GB2312"/>
        </w:rPr>
        <w:t>本项目在组织实施过程中，项目验收资料只有年末的验收单，未对项目的过程资料进行归档，如信息系统的修障日志、周报、月报等。</w:t>
      </w:r>
    </w:p>
    <w:p>
      <w:pPr>
        <w:spacing w:line="560" w:lineRule="exact"/>
        <w:ind w:firstLine="600" w:firstLineChars="200"/>
        <w:rPr>
          <w:rFonts w:ascii="仿宋_GB2312"/>
        </w:rPr>
      </w:pPr>
      <w:r>
        <w:rPr>
          <w:rFonts w:hint="eastAsia" w:ascii="仿宋_GB2312"/>
        </w:rPr>
        <w:t>3</w:t>
      </w:r>
      <w:r>
        <w:rPr>
          <w:rFonts w:ascii="仿宋_GB2312"/>
        </w:rPr>
        <w:t>.</w:t>
      </w:r>
      <w:r>
        <w:rPr>
          <w:rFonts w:hint="eastAsia" w:ascii="仿宋_GB2312"/>
        </w:rPr>
        <w:t>通过满意度调查，信息系统维护中，信息系统的运行速度、系统的稳定性、系统功能的全面性均需进一步加强，分析得知系统功能的全面性问题为受委托公司对我中心提出的某些系统需求未能实现，例如会计核算智能化、辅助核算数据流通自动化。</w:t>
      </w:r>
    </w:p>
    <w:p>
      <w:pPr>
        <w:spacing w:line="600" w:lineRule="exact"/>
        <w:ind w:firstLine="643" w:firstLineChars="200"/>
        <w:outlineLvl w:val="0"/>
        <w:rPr>
          <w:rFonts w:ascii="黑体" w:hAnsi="黑体" w:eastAsia="黑体"/>
          <w:b/>
          <w:bCs/>
          <w:sz w:val="32"/>
          <w:szCs w:val="32"/>
        </w:rPr>
      </w:pPr>
      <w:bookmarkStart w:id="22" w:name="_Toc82783087"/>
      <w:r>
        <w:rPr>
          <w:rFonts w:hint="eastAsia" w:ascii="黑体" w:hAnsi="黑体" w:eastAsia="黑体"/>
          <w:b/>
          <w:bCs/>
          <w:sz w:val="32"/>
          <w:szCs w:val="32"/>
        </w:rPr>
        <w:t>七、有关建议</w:t>
      </w:r>
      <w:bookmarkEnd w:id="22"/>
    </w:p>
    <w:p>
      <w:pPr>
        <w:spacing w:line="560" w:lineRule="exact"/>
        <w:ind w:firstLine="600" w:firstLineChars="200"/>
        <w:rPr>
          <w:rFonts w:ascii="仿宋_GB2312"/>
        </w:rPr>
      </w:pPr>
      <w:r>
        <w:rPr>
          <w:rFonts w:hint="eastAsia" w:ascii="仿宋_GB2312"/>
        </w:rPr>
        <w:t>1</w:t>
      </w:r>
      <w:r>
        <w:rPr>
          <w:rFonts w:ascii="仿宋_GB2312"/>
        </w:rPr>
        <w:t>.</w:t>
      </w:r>
      <w:r>
        <w:rPr>
          <w:rFonts w:hint="eastAsia" w:ascii="仿宋_GB2312"/>
        </w:rPr>
        <w:t>在进行绩效目标申报时，应根据项目的总目标和实际开展的项目情况，对项目的绩效指标进行分类细化，设定可衡量的绩效指标，以便于对绩效目标的跟踪和考核管理，提高项目管理水平。</w:t>
      </w:r>
    </w:p>
    <w:p>
      <w:pPr>
        <w:spacing w:line="560" w:lineRule="exact"/>
        <w:ind w:firstLine="600" w:firstLineChars="200"/>
        <w:rPr>
          <w:rFonts w:ascii="仿宋_GB2312"/>
        </w:rPr>
      </w:pPr>
      <w:r>
        <w:rPr>
          <w:rFonts w:hint="eastAsia" w:ascii="仿宋_GB2312"/>
        </w:rPr>
        <w:t>2</w:t>
      </w:r>
      <w:r>
        <w:rPr>
          <w:rFonts w:ascii="仿宋_GB2312"/>
        </w:rPr>
        <w:t>.</w:t>
      </w:r>
      <w:r>
        <w:rPr>
          <w:rFonts w:hint="eastAsia" w:ascii="仿宋_GB2312"/>
        </w:rPr>
        <w:t>建议要求第三方实施单位定期或不定期的提交工作总结确保合同的履约执行情况。</w:t>
      </w:r>
    </w:p>
    <w:p>
      <w:pPr>
        <w:spacing w:line="560" w:lineRule="exact"/>
        <w:ind w:firstLine="600" w:firstLineChars="200"/>
        <w:rPr>
          <w:rFonts w:ascii="仿宋_GB2312"/>
        </w:rPr>
      </w:pPr>
      <w:r>
        <w:rPr>
          <w:rFonts w:hint="eastAsia" w:ascii="仿宋_GB2312"/>
        </w:rPr>
        <w:t>3</w:t>
      </w:r>
      <w:r>
        <w:rPr>
          <w:rFonts w:ascii="仿宋_GB2312"/>
        </w:rPr>
        <w:t>.</w:t>
      </w:r>
      <w:r>
        <w:rPr>
          <w:rFonts w:hint="eastAsia" w:ascii="仿宋_GB2312"/>
        </w:rPr>
        <w:t>系统功能全面性方面：中心稽核部积极与第三方沟通信息系统软件需求，提出了信息系统应满足中心填报各核算单位政府财务报告、决算报告的需求，制定了切实可行的实施方案，确保全区各核算单位政府财务报告、决算报告顺利完成。</w:t>
      </w:r>
    </w:p>
    <w:p>
      <w:pPr>
        <w:spacing w:line="560" w:lineRule="exact"/>
        <w:ind w:firstLine="600" w:firstLineChars="200"/>
        <w:rPr>
          <w:rFonts w:ascii="仿宋_GB2312"/>
        </w:rPr>
      </w:pPr>
      <w:bookmarkStart w:id="23" w:name="_Hlk82786593"/>
      <w:r>
        <w:rPr>
          <w:rFonts w:hint="eastAsia" w:ascii="仿宋_GB2312"/>
        </w:rPr>
        <w:t>系统运行速度和稳定性方面：一是软硬件上每年至少一次对信息系统相关的机房环节、计算机硬件、配套网络、基础软件和应用软件进行一次检查，检查完毕后对本次检查填写详细的记录和问题汇总，并组织相关人员对信息化检查中暴露的问题进行解决，保障系统运行环境的稳定。二是系统维护人员每次故障解决后对故障产生的原因、解决方案进行填写，并每月进行分析，以分辨系统的弊端，对长期存在的问题应提出解决方案解决。</w:t>
      </w:r>
    </w:p>
    <w:bookmarkEnd w:id="23"/>
    <w:p/>
    <w:p>
      <w:pPr>
        <w:sectPr>
          <w:footerReference r:id="rId5" w:type="default"/>
          <w:pgSz w:w="11906" w:h="16838"/>
          <w:pgMar w:top="1440" w:right="1800" w:bottom="1440" w:left="1800" w:header="851" w:footer="992" w:gutter="0"/>
          <w:pgNumType w:start="1"/>
          <w:cols w:space="425" w:num="1"/>
          <w:docGrid w:type="lines" w:linePitch="312" w:charSpace="0"/>
        </w:sectPr>
      </w:pPr>
    </w:p>
    <w:p>
      <w:pPr>
        <w:pStyle w:val="3"/>
        <w:spacing w:before="0" w:after="0" w:line="240" w:lineRule="auto"/>
        <w:rPr>
          <w:rFonts w:ascii="黑体" w:cs="黑体"/>
          <w:b w:val="0"/>
          <w:color w:val="000000"/>
        </w:rPr>
      </w:pPr>
      <w:bookmarkStart w:id="24" w:name="_Toc82783088"/>
      <w:r>
        <w:rPr>
          <w:rFonts w:hint="eastAsia" w:ascii="黑体" w:hAnsi="黑体" w:cs="黑体"/>
          <w:b w:val="0"/>
          <w:color w:val="000000"/>
        </w:rPr>
        <w:t>附件</w:t>
      </w:r>
      <w:r>
        <w:rPr>
          <w:rFonts w:ascii="黑体" w:hAnsi="黑体" w:cs="黑体"/>
          <w:b w:val="0"/>
          <w:color w:val="000000"/>
        </w:rPr>
        <w:t>1</w:t>
      </w:r>
      <w:bookmarkEnd w:id="24"/>
    </w:p>
    <w:p>
      <w:pPr>
        <w:pStyle w:val="3"/>
        <w:spacing w:before="0" w:after="0" w:line="240" w:lineRule="auto"/>
        <w:ind w:firstLine="723"/>
        <w:jc w:val="center"/>
        <w:rPr>
          <w:rFonts w:ascii="宋体" w:hAnsi="宋体" w:eastAsia="宋体" w:cs="宋体"/>
          <w:bCs/>
          <w:color w:val="000000"/>
          <w:sz w:val="36"/>
          <w:szCs w:val="28"/>
        </w:rPr>
      </w:pPr>
      <w:bookmarkStart w:id="25" w:name="_Toc82783089"/>
      <w:bookmarkStart w:id="26" w:name="_Toc77351796"/>
      <w:bookmarkStart w:id="27" w:name="_Toc77351624"/>
      <w:r>
        <w:rPr>
          <w:rFonts w:hint="eastAsia" w:ascii="宋体" w:hAnsi="宋体" w:eastAsia="宋体" w:cs="宋体"/>
          <w:bCs/>
          <w:color w:val="000000"/>
          <w:sz w:val="36"/>
          <w:szCs w:val="28"/>
        </w:rPr>
        <w:t>项目支出绩效评价指标体系</w:t>
      </w:r>
      <w:bookmarkEnd w:id="25"/>
      <w:bookmarkEnd w:id="26"/>
      <w:bookmarkEnd w:id="27"/>
    </w:p>
    <w:p>
      <w:pPr>
        <w:pStyle w:val="3"/>
        <w:spacing w:before="0" w:after="0" w:line="240" w:lineRule="auto"/>
        <w:ind w:firstLine="643"/>
        <w:jc w:val="center"/>
        <w:rPr>
          <w:bCs/>
          <w:color w:val="000000"/>
        </w:rPr>
      </w:pPr>
    </w:p>
    <w:tbl>
      <w:tblPr>
        <w:tblStyle w:val="11"/>
        <w:tblW w:w="1446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1199"/>
        <w:gridCol w:w="1411"/>
        <w:gridCol w:w="864"/>
        <w:gridCol w:w="1843"/>
        <w:gridCol w:w="7295"/>
        <w:gridCol w:w="10"/>
        <w:gridCol w:w="9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2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2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①项目立项是否符合国家法律法规、国民经济发展规划和相关政策；指标满分1分，符合得1分，不符合不得分。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②项目立项是否符合行业发展规划和政策要求；指标满分1分，符合得1分，不符合不得分。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③项目立项是否与部门职责范围相符，属于部门履职所需；指标满分1分，符合得1分，不符合不得分。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④项目是否属于公共财政支持范围，是否符合中央、地方事权支出责任划分原则；指标满分1分，符合得1分，不符合不得分。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⑤项目是否与相关部门同类项目或部门内部相关项目重复。指标满分1分，符合得1分，不符合不得分。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p>
            <w:pPr>
              <w:widowControl/>
              <w:jc w:val="left"/>
              <w:rPr>
                <w:rFonts w:ascii="宋体" w:hAnsi="宋体" w:eastAsia="宋体" w:cs="宋体"/>
                <w:color w:val="000000"/>
                <w:kern w:val="0"/>
                <w:sz w:val="22"/>
                <w:szCs w:val="22"/>
              </w:rPr>
            </w:pPr>
          </w:p>
          <w:p>
            <w:pPr>
              <w:widowControl/>
              <w:spacing w:line="240" w:lineRule="atLeast"/>
              <w:jc w:val="left"/>
              <w:rPr>
                <w:rFonts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2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①项目是否按照规定的程序申请设立；指标满分1分，符合得1分，不符合不得分。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②审批文件、材料是否符合相关要求；指标满分1分，符合得1分，不符合不得分。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③事前是否已经过必要的可行性研究、专家论证、风险评估、绩效评估、集体决策。指标满分1分，符合得1分，不符合不得分。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p>
            <w:pPr>
              <w:widowControl/>
              <w:jc w:val="left"/>
              <w:rPr>
                <w:rFonts w:ascii="宋体" w:hAnsi="宋体" w:eastAsia="宋体" w:cs="宋体"/>
                <w:color w:val="000000"/>
                <w:kern w:val="0"/>
                <w:sz w:val="22"/>
                <w:szCs w:val="22"/>
              </w:rPr>
            </w:pPr>
          </w:p>
          <w:p>
            <w:pPr>
              <w:widowControl/>
              <w:spacing w:line="240" w:lineRule="atLeast"/>
              <w:jc w:val="left"/>
              <w:rPr>
                <w:rFonts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（如未设定预算绩效目标，也可考核其他工作任务目标）</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①项目是否有绩效目标；指标满分1分，符合得1分，不符合不得分。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②项目绩效目标与实际工作内容是否具有相关性；指标满分1分，符合得1分，不符合不得分。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③项目预期产出效益和效果是否符合正常的业绩水平；指标满分1分，符合得1分，不符合不得分。</w:t>
            </w:r>
          </w:p>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④是否与预算确定的项目投资额或资金量相匹配。指标满分1分，符合得1分，不符合不得分。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p>
            <w:pPr>
              <w:widowControl/>
              <w:spacing w:line="240" w:lineRule="atLeast"/>
              <w:jc w:val="left"/>
              <w:rPr>
                <w:rFonts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w:t>
            </w:r>
            <w:bookmarkStart w:id="28" w:name="_Hlk77348097"/>
            <w:r>
              <w:rPr>
                <w:rFonts w:hint="eastAsia" w:ascii="宋体" w:hAnsi="宋体" w:eastAsia="宋体" w:cs="宋体"/>
                <w:color w:val="000000"/>
                <w:kern w:val="0"/>
                <w:sz w:val="22"/>
                <w:szCs w:val="22"/>
              </w:rPr>
              <w:t>是否将项目绩效目标细化分解为具体的绩效指标</w:t>
            </w:r>
            <w:bookmarkEnd w:id="28"/>
            <w:r>
              <w:rPr>
                <w:rFonts w:hint="eastAsia" w:ascii="宋体" w:hAnsi="宋体" w:eastAsia="宋体" w:cs="宋体"/>
                <w:color w:val="000000"/>
                <w:kern w:val="0"/>
                <w:sz w:val="22"/>
                <w:szCs w:val="22"/>
              </w:rPr>
              <w:t>；指标满分1分，符合得1分，不符合不得分。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②是否通过清晰、可衡量的指标值予以体现；指标满分1分，符合得1分，不符合不得分。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③是否与项目目标任务数或计划数相对应。指标满分1分，符合得1分，不符合不得分。</w:t>
            </w:r>
            <w:r>
              <w:rPr>
                <w:rFonts w:ascii="宋体" w:hAnsi="宋体" w:eastAsia="宋体" w:cs="宋体"/>
                <w:color w:val="000000"/>
                <w:kern w:val="0"/>
                <w:sz w:val="22"/>
                <w:szCs w:val="22"/>
              </w:rPr>
              <w:br w:type="textWrapping"/>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p>
            <w:pPr>
              <w:widowControl/>
              <w:spacing w:line="240" w:lineRule="atLeast"/>
              <w:rPr>
                <w:rFonts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1"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2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①预算编制是否经过科学论证；指标满分1分，符合得1分，不符合不得分。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②预算内容与项目内容是否匹配；指标满分1分，符合得1分，不符合不得分。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③预算额度测算依据是否充分，是否按照标准编制；指标满分1分，符合得1分，不符合不得分。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④预算确定的项目投资额或资金量是否与工作任务相匹配。指标满分1分，符合得1分，不符合不得分。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p>
            <w:pPr>
              <w:widowControl/>
              <w:jc w:val="left"/>
              <w:rPr>
                <w:rFonts w:ascii="宋体" w:hAnsi="宋体" w:eastAsia="宋体" w:cs="宋体"/>
                <w:color w:val="000000"/>
                <w:kern w:val="0"/>
                <w:sz w:val="22"/>
                <w:szCs w:val="22"/>
              </w:rPr>
            </w:pPr>
          </w:p>
          <w:p>
            <w:pPr>
              <w:widowControl/>
              <w:spacing w:line="240" w:lineRule="atLeast"/>
              <w:rPr>
                <w:rFonts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2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①预算资金分配依据是否充分，体现厉行节约从严从紧安排的导向；指标满分1分，符合得1分，不符合不得分。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②资金分配额度是否合理，与项目单位或地方实际是否相适应。指标满分1分，符合得1分，不符合不得分。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p>
            <w:pPr>
              <w:widowControl/>
              <w:jc w:val="left"/>
              <w:rPr>
                <w:rFonts w:ascii="宋体" w:hAnsi="宋体" w:eastAsia="宋体" w:cs="宋体"/>
                <w:color w:val="000000"/>
                <w:kern w:val="0"/>
                <w:sz w:val="22"/>
                <w:szCs w:val="22"/>
              </w:rPr>
            </w:pPr>
          </w:p>
          <w:p>
            <w:pPr>
              <w:widowControl/>
              <w:spacing w:line="240" w:lineRule="atLeast"/>
              <w:rPr>
                <w:rFonts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（实际到位资金</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预算资金）×</w:t>
            </w:r>
            <w:r>
              <w:rPr>
                <w:rFonts w:ascii="宋体" w:hAnsi="宋体" w:eastAsia="宋体" w:cs="宋体"/>
                <w:color w:val="000000"/>
                <w:kern w:val="0"/>
                <w:sz w:val="22"/>
                <w:szCs w:val="22"/>
              </w:rPr>
              <w:t>100%</w:t>
            </w:r>
            <w:r>
              <w:rPr>
                <w:rFonts w:hint="eastAsia" w:ascii="宋体" w:hAnsi="宋体" w:eastAsia="宋体" w:cs="宋体"/>
                <w:color w:val="000000"/>
                <w:kern w:val="0"/>
                <w:sz w:val="22"/>
                <w:szCs w:val="22"/>
              </w:rPr>
              <w:t>。</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指标满分2分，到位率为100%得满分，不足100%按比例得分。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2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（实际支出资金</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实际到位资金）×</w:t>
            </w:r>
            <w:r>
              <w:rPr>
                <w:rFonts w:ascii="宋体" w:hAnsi="宋体" w:eastAsia="宋体" w:cs="宋体"/>
                <w:color w:val="000000"/>
                <w:kern w:val="0"/>
                <w:sz w:val="22"/>
                <w:szCs w:val="22"/>
              </w:rPr>
              <w:t>100%</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实际支出资金：一定时期（本年度或项目期）内项目实际拨付的资金。</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指标满分</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分，到位率为100%得满分，不足100%按比例得分。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000000"/>
                <w:kern w:val="0"/>
                <w:sz w:val="22"/>
                <w:szCs w:val="22"/>
              </w:rPr>
            </w:pP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r>
              <w:rPr>
                <w:rFonts w:ascii="宋体" w:hAnsi="宋体" w:eastAsia="宋体" w:cs="宋体"/>
                <w:color w:val="000000"/>
                <w:kern w:val="0"/>
                <w:sz w:val="22"/>
                <w:szCs w:val="22"/>
              </w:rPr>
              <w:t>.95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①是否符合国家财经法规和财务管理制度以及有关专项资金管理规程的规定；指标满分1分，符合得1分，不符合不得分。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②资金的拨付是否有完整的审批程序和手续；指标满分1分，符合得1分，不符合不得分。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③是否符合项目预算批复或合同规定的用途；指标满分1分，符合得1分，不符合不得分。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④是否存在截留、挤占、挪用、虚列支出等情况；指标满分1分，符合得1分，不符合不得分。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p>
            <w:pPr>
              <w:widowControl/>
              <w:spacing w:line="240" w:lineRule="atLeast"/>
              <w:rPr>
                <w:rFonts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pPr>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①是否已制定或具有相应的财务和业务管理制度；指标满分</w:t>
            </w:r>
            <w:r>
              <w:rPr>
                <w:rFonts w:ascii="宋体" w:hAnsi="宋体" w:eastAsia="宋体" w:cs="宋体"/>
                <w:color w:val="000000"/>
                <w:kern w:val="0"/>
                <w:sz w:val="22"/>
                <w:szCs w:val="22"/>
              </w:rPr>
              <w:t>1.5</w:t>
            </w:r>
            <w:r>
              <w:rPr>
                <w:rFonts w:hint="eastAsia" w:ascii="宋体" w:hAnsi="宋体" w:eastAsia="宋体" w:cs="宋体"/>
                <w:color w:val="000000"/>
                <w:kern w:val="0"/>
                <w:sz w:val="22"/>
                <w:szCs w:val="22"/>
              </w:rPr>
              <w:t>分，符合得</w:t>
            </w:r>
            <w:r>
              <w:rPr>
                <w:rFonts w:ascii="宋体" w:hAnsi="宋体" w:eastAsia="宋体" w:cs="宋体"/>
                <w:color w:val="000000"/>
                <w:kern w:val="0"/>
                <w:sz w:val="22"/>
                <w:szCs w:val="22"/>
              </w:rPr>
              <w:t>1.5</w:t>
            </w:r>
            <w:r>
              <w:rPr>
                <w:rFonts w:hint="eastAsia" w:ascii="宋体" w:hAnsi="宋体" w:eastAsia="宋体" w:cs="宋体"/>
                <w:color w:val="000000"/>
                <w:kern w:val="0"/>
                <w:sz w:val="22"/>
                <w:szCs w:val="22"/>
              </w:rPr>
              <w:t>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②财务和业务管理制度是否合法、合规、完整；指标满分</w:t>
            </w:r>
            <w:r>
              <w:rPr>
                <w:rFonts w:ascii="宋体" w:hAnsi="宋体" w:eastAsia="宋体" w:cs="宋体"/>
                <w:color w:val="000000"/>
                <w:kern w:val="0"/>
                <w:sz w:val="22"/>
                <w:szCs w:val="22"/>
              </w:rPr>
              <w:t>1.5</w:t>
            </w:r>
            <w:r>
              <w:rPr>
                <w:rFonts w:hint="eastAsia" w:ascii="宋体" w:hAnsi="宋体" w:eastAsia="宋体" w:cs="宋体"/>
                <w:color w:val="000000"/>
                <w:kern w:val="0"/>
                <w:sz w:val="22"/>
                <w:szCs w:val="22"/>
              </w:rPr>
              <w:t>分，符合得</w:t>
            </w:r>
            <w:r>
              <w:rPr>
                <w:rFonts w:ascii="宋体" w:hAnsi="宋体" w:eastAsia="宋体" w:cs="宋体"/>
                <w:color w:val="000000"/>
                <w:kern w:val="0"/>
                <w:sz w:val="22"/>
                <w:szCs w:val="22"/>
              </w:rPr>
              <w:t>1.5</w:t>
            </w:r>
            <w:r>
              <w:rPr>
                <w:rFonts w:hint="eastAsia" w:ascii="宋体" w:hAnsi="宋体" w:eastAsia="宋体" w:cs="宋体"/>
                <w:color w:val="000000"/>
                <w:kern w:val="0"/>
                <w:sz w:val="22"/>
                <w:szCs w:val="22"/>
              </w:rPr>
              <w:t>分，不符合不得分。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spacing w:line="240" w:lineRule="atLeast"/>
              <w:rPr>
                <w:rFonts w:ascii="宋体" w:hAnsi="宋体" w:eastAsia="宋体" w:cs="宋体"/>
                <w:color w:val="000000"/>
                <w:kern w:val="0"/>
                <w:sz w:val="22"/>
                <w:szCs w:val="22"/>
              </w:rPr>
            </w:pPr>
            <w:r>
              <w:rPr>
                <w:rFonts w:ascii="宋体" w:hAnsi="宋体" w:eastAsia="宋体" w:cs="宋体"/>
                <w:color w:val="000000"/>
                <w:kern w:val="0"/>
                <w:sz w:val="22"/>
                <w:szCs w:val="22"/>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2"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①是否遵守相关法律法规和相关管理规定；指标满分1分，符合得1分，不符合不得分。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②项目调整及支出调整手续是否完备；指标满分1分，符合得1分，不符合不得分。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③项目合同书、验收报告、技术鉴定等资料是否齐全并及时归档；指标满分</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分，符合得</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分，不符合不得分。</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④项目实施的人员条件、场地设备、信息支撑等是否落实到位；指标满分1分，符合得1分，不符合不得分。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3</w:t>
            </w:r>
          </w:p>
          <w:p>
            <w:pPr>
              <w:widowControl/>
              <w:spacing w:line="240" w:lineRule="atLeast"/>
              <w:rPr>
                <w:rFonts w:ascii="宋体" w:hAnsi="宋体" w:eastAsia="宋体" w:cs="宋体"/>
                <w:color w:val="000000"/>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产出数量</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系统维护数量</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考核维护系统数量目标的实现程度。</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本项指标满分</w:t>
            </w:r>
            <w:r>
              <w:rPr>
                <w:rFonts w:ascii="宋体" w:hAnsi="宋体" w:eastAsia="宋体" w:cs="宋体"/>
                <w:color w:val="000000"/>
                <w:kern w:val="0"/>
                <w:sz w:val="22"/>
                <w:szCs w:val="22"/>
              </w:rPr>
              <w:t>10</w:t>
            </w:r>
            <w:r>
              <w:rPr>
                <w:rFonts w:hint="eastAsia" w:ascii="宋体" w:hAnsi="宋体" w:eastAsia="宋体" w:cs="宋体"/>
                <w:color w:val="000000"/>
                <w:kern w:val="0"/>
                <w:sz w:val="22"/>
                <w:szCs w:val="22"/>
              </w:rPr>
              <w:t>分。</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①若维护系统数量达2个，得满分；</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②若维护系统数量不足2个的，则按实际完成率（（实际产出数/计划产出数）×100%）*指标分值计分；</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③若维护系统数量超过2个的，不得分。</w:t>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1199" w:type="dxa"/>
            <w:vMerge w:val="restart"/>
            <w:tcBorders>
              <w:top w:val="single" w:color="000000" w:sz="8" w:space="0"/>
              <w:left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产出质量</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系统验收合格率</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考核系统维护质量目标的实现程度。</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本项指标满分5分。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①若系统验收合格，得满分；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②若系统验收不合格，不得分。</w:t>
            </w:r>
            <w:r>
              <w:rPr>
                <w:rFonts w:hint="eastAsia" w:ascii="宋体" w:hAnsi="宋体" w:eastAsia="宋体" w:cs="宋体"/>
                <w:color w:val="000000"/>
                <w:kern w:val="0"/>
                <w:sz w:val="22"/>
                <w:szCs w:val="22"/>
              </w:rPr>
              <w:br w:type="textWrapping"/>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199"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故障排除率</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考核故障排除质量目标的实现程度。</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本项指标满分5分。</w:t>
            </w:r>
          </w:p>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①若系统故障排除率达100%（含），得满分；</w:t>
            </w:r>
          </w:p>
          <w:p>
            <w:pPr>
              <w:widowControl/>
              <w:spacing w:line="240" w:lineRule="atLeast"/>
              <w:jc w:val="left"/>
              <w:rPr>
                <w:rFonts w:ascii="仿宋" w:hAnsi="仿宋" w:eastAsia="仿宋" w:cs="宋体"/>
                <w:color w:val="000000"/>
                <w:kern w:val="0"/>
                <w:sz w:val="24"/>
              </w:rPr>
            </w:pPr>
            <w:r>
              <w:rPr>
                <w:rFonts w:hint="eastAsia" w:ascii="宋体" w:hAnsi="宋体" w:eastAsia="宋体" w:cs="宋体"/>
                <w:color w:val="000000"/>
                <w:kern w:val="0"/>
                <w:sz w:val="22"/>
                <w:szCs w:val="22"/>
              </w:rPr>
              <w:t>②若系统故障排除率不足100%，则按质量达标率（（质量达标产出数/实际产出数）×100%）*指标分值计分。</w:t>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产出时效</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故障修复时效</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考核系统维护时效目标的实现程度。</w:t>
            </w:r>
          </w:p>
        </w:tc>
        <w:tc>
          <w:tcPr>
            <w:tcW w:w="72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本项指标满分6分。</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一般故障在2</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小时内修复完成，得6分。</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一般故障在超3天修复完成，得</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分。</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一般故障在超</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天修复完成，得</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分。</w:t>
            </w:r>
          </w:p>
        </w:tc>
        <w:tc>
          <w:tcPr>
            <w:tcW w:w="992"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 w:val="22"/>
                <w:szCs w:val="22"/>
              </w:rPr>
            </w:pP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产出成本</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成本节约率</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305"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成本节约率</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（计划成本</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实际成本）</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计划成本</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100%</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实际成本：项目实施单位如期、保质、保量完成既定工作目标实际所耗费的支出。</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计划成本：项目实施单位为完成工作目标计划安排的支出，一般以项目预算为参考。</w:t>
            </w:r>
          </w:p>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本指标满分6分。按成本节约率比率得分。</w:t>
            </w:r>
          </w:p>
        </w:tc>
        <w:tc>
          <w:tcPr>
            <w:tcW w:w="98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r>
              <w:rPr>
                <w:rFonts w:ascii="宋体" w:hAnsi="宋体" w:eastAsia="宋体" w:cs="宋体"/>
                <w:color w:val="000000"/>
                <w:kern w:val="0"/>
                <w:sz w:val="22"/>
                <w:szCs w:val="22"/>
              </w:rPr>
              <w:t>.94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tcBorders>
              <w:top w:val="single" w:color="000000" w:sz="8" w:space="0"/>
              <w:left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　</w:t>
            </w:r>
          </w:p>
        </w:tc>
        <w:tc>
          <w:tcPr>
            <w:tcW w:w="1199" w:type="dxa"/>
            <w:vMerge w:val="restart"/>
            <w:tcBorders>
              <w:top w:val="single" w:color="000000" w:sz="8" w:space="0"/>
              <w:left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社会效益　</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保障了对幼儿园“民转公”工作要求以及全区工会纳入集中核算</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考核项目对幼儿园“民转公”工作要求以及全区工会纳入集中核算保障。</w:t>
            </w:r>
          </w:p>
        </w:tc>
        <w:tc>
          <w:tcPr>
            <w:tcW w:w="730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本项指标满分6分，若项目工作有效保障幼儿园“民转公”工作要求以及全区工会纳入集中核算，得满分；根据实际产生的影响程度酌情打分，若项目工作未对幼儿园“民转公”工作要求以及全区工会纳入集中核算有支撑作用，则不得分。</w:t>
            </w:r>
          </w:p>
        </w:tc>
        <w:tc>
          <w:tcPr>
            <w:tcW w:w="9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continue"/>
            <w:tcBorders>
              <w:left w:val="single" w:color="000000" w:sz="8" w:space="0"/>
              <w:right w:val="single" w:color="000000" w:sz="8" w:space="0"/>
            </w:tcBorders>
            <w:shd w:val="clear" w:color="auto" w:fill="FFFFFF"/>
            <w:vAlign w:val="center"/>
          </w:tcPr>
          <w:p>
            <w:pPr>
              <w:spacing w:line="240" w:lineRule="atLeast"/>
              <w:jc w:val="center"/>
              <w:rPr>
                <w:rFonts w:ascii="宋体" w:hAnsi="宋体" w:eastAsia="宋体" w:cs="宋体"/>
                <w:color w:val="000000"/>
                <w:kern w:val="0"/>
                <w:sz w:val="22"/>
                <w:szCs w:val="22"/>
              </w:rPr>
            </w:pPr>
          </w:p>
        </w:tc>
        <w:tc>
          <w:tcPr>
            <w:tcW w:w="1199"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财政资金保障能力</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考核项目对财政资金保障能力的提高作用。</w:t>
            </w:r>
          </w:p>
        </w:tc>
        <w:tc>
          <w:tcPr>
            <w:tcW w:w="730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本项指标满分6分，若项目工作有效提升财政资金保障能力，得满分；根据实际产生的影响程度酌情打分，若项目工作未对财政资金保障能力有提升作用，则不得分。</w:t>
            </w:r>
          </w:p>
        </w:tc>
        <w:tc>
          <w:tcPr>
            <w:tcW w:w="9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可持续性影响</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财政风险管控能力</w:t>
            </w: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8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考核项目对财政风险管控能力的提高作用。</w:t>
            </w:r>
          </w:p>
        </w:tc>
        <w:tc>
          <w:tcPr>
            <w:tcW w:w="730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本项指标满分6分，若项目工作有效提升财政风险管控能力，得满分；根据实际产生的影响程度酌情打分，若项目工作未对财政风险管控能力有提升作用，则不得分。</w:t>
            </w:r>
          </w:p>
        </w:tc>
        <w:tc>
          <w:tcPr>
            <w:tcW w:w="9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w:t>
            </w:r>
          </w:p>
        </w:tc>
        <w:tc>
          <w:tcPr>
            <w:tcW w:w="141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使用人员满意度</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反映信息系统使用人员的满意度情况。</w:t>
            </w:r>
          </w:p>
        </w:tc>
        <w:tc>
          <w:tcPr>
            <w:tcW w:w="7305"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cs="宋体"/>
                <w:color w:val="000000"/>
                <w:kern w:val="0"/>
                <w:sz w:val="22"/>
                <w:szCs w:val="22"/>
              </w:rPr>
              <w:t>根据指标完成情况按比例计算得分，实际得分=（实际完成值/指标目标值）*本指标分数*100%，最高得分为本指标分值。满意度较上年度有所下降本项指标酌情扣分。</w:t>
            </w:r>
          </w:p>
        </w:tc>
        <w:tc>
          <w:tcPr>
            <w:tcW w:w="98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ascii="宋体" w:hAnsi="宋体" w:eastAsia="宋体" w:cs="宋体"/>
                <w:color w:val="000000"/>
                <w:kern w:val="0"/>
                <w:sz w:val="22"/>
                <w:szCs w:val="22"/>
              </w:rPr>
              <w:t>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471"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864"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w:t>
            </w:r>
            <w:r>
              <w:rPr>
                <w:rFonts w:ascii="宋体" w:hAnsi="宋体" w:eastAsia="宋体" w:cs="宋体"/>
                <w:b/>
                <w:bCs/>
                <w:color w:val="000000"/>
                <w:kern w:val="0"/>
                <w:sz w:val="22"/>
                <w:szCs w:val="22"/>
              </w:rPr>
              <w:t>00</w:t>
            </w:r>
          </w:p>
        </w:tc>
        <w:tc>
          <w:tcPr>
            <w:tcW w:w="1843"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仿宋" w:hAnsi="仿宋" w:eastAsia="仿宋" w:cs="宋体"/>
                <w:b/>
                <w:bCs/>
                <w:color w:val="000000"/>
                <w:kern w:val="0"/>
                <w:sz w:val="24"/>
              </w:rPr>
              <w:t>-</w:t>
            </w:r>
          </w:p>
        </w:tc>
        <w:tc>
          <w:tcPr>
            <w:tcW w:w="7305" w:type="dxa"/>
            <w:gridSpan w:val="2"/>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jc w:val="center"/>
              <w:rPr>
                <w:rFonts w:ascii="宋体" w:hAnsi="宋体" w:eastAsia="宋体" w:cs="宋体"/>
                <w:color w:val="000000"/>
                <w:kern w:val="0"/>
                <w:sz w:val="22"/>
                <w:szCs w:val="22"/>
              </w:rPr>
            </w:pPr>
            <w:r>
              <w:rPr>
                <w:rFonts w:hint="eastAsia" w:ascii="仿宋" w:hAnsi="仿宋" w:eastAsia="仿宋" w:cs="宋体"/>
                <w:b/>
                <w:bCs/>
                <w:color w:val="000000"/>
                <w:kern w:val="0"/>
                <w:sz w:val="24"/>
              </w:rPr>
              <w:t>-</w:t>
            </w:r>
          </w:p>
        </w:tc>
        <w:tc>
          <w:tcPr>
            <w:tcW w:w="98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tLeast"/>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r>
              <w:rPr>
                <w:rFonts w:ascii="宋体" w:hAnsi="宋体" w:eastAsia="宋体" w:cs="宋体"/>
                <w:color w:val="000000"/>
                <w:kern w:val="0"/>
                <w:sz w:val="22"/>
                <w:szCs w:val="22"/>
              </w:rPr>
              <w:t>5.59</w:t>
            </w:r>
          </w:p>
        </w:tc>
      </w:tr>
    </w:tbl>
    <w:p>
      <w:pPr>
        <w:rPr>
          <w:rFonts w:eastAsiaTheme="minor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5262669"/>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44320F"/>
    <w:rsid w:val="00060A4B"/>
    <w:rsid w:val="000714AA"/>
    <w:rsid w:val="00075784"/>
    <w:rsid w:val="00081AA9"/>
    <w:rsid w:val="000A154D"/>
    <w:rsid w:val="000E0DA4"/>
    <w:rsid w:val="0010171B"/>
    <w:rsid w:val="00132922"/>
    <w:rsid w:val="00156075"/>
    <w:rsid w:val="00165C9D"/>
    <w:rsid w:val="001811C6"/>
    <w:rsid w:val="001A2A39"/>
    <w:rsid w:val="001C5193"/>
    <w:rsid w:val="00212B7A"/>
    <w:rsid w:val="00233482"/>
    <w:rsid w:val="00251C27"/>
    <w:rsid w:val="0025633A"/>
    <w:rsid w:val="00290E5F"/>
    <w:rsid w:val="00323010"/>
    <w:rsid w:val="003265C0"/>
    <w:rsid w:val="003606C1"/>
    <w:rsid w:val="0036390D"/>
    <w:rsid w:val="00390584"/>
    <w:rsid w:val="003B51AA"/>
    <w:rsid w:val="003D4124"/>
    <w:rsid w:val="003E74C8"/>
    <w:rsid w:val="003F0D57"/>
    <w:rsid w:val="00410B21"/>
    <w:rsid w:val="00435FE3"/>
    <w:rsid w:val="00445107"/>
    <w:rsid w:val="004645DA"/>
    <w:rsid w:val="00532496"/>
    <w:rsid w:val="00566A2A"/>
    <w:rsid w:val="005820F5"/>
    <w:rsid w:val="00640928"/>
    <w:rsid w:val="00666B38"/>
    <w:rsid w:val="006A22DF"/>
    <w:rsid w:val="006B4B8D"/>
    <w:rsid w:val="006E4D3B"/>
    <w:rsid w:val="00705BB5"/>
    <w:rsid w:val="00726CDE"/>
    <w:rsid w:val="00727704"/>
    <w:rsid w:val="00731FC7"/>
    <w:rsid w:val="0075342C"/>
    <w:rsid w:val="0079504C"/>
    <w:rsid w:val="007D2450"/>
    <w:rsid w:val="00827BB5"/>
    <w:rsid w:val="00837BBA"/>
    <w:rsid w:val="008570B7"/>
    <w:rsid w:val="008B6C69"/>
    <w:rsid w:val="008F29CE"/>
    <w:rsid w:val="009142F7"/>
    <w:rsid w:val="00947D82"/>
    <w:rsid w:val="0097615E"/>
    <w:rsid w:val="00993A43"/>
    <w:rsid w:val="009E6954"/>
    <w:rsid w:val="00A46C5F"/>
    <w:rsid w:val="00A52A93"/>
    <w:rsid w:val="00A600ED"/>
    <w:rsid w:val="00A70DCD"/>
    <w:rsid w:val="00A9391D"/>
    <w:rsid w:val="00AB186D"/>
    <w:rsid w:val="00AC3A58"/>
    <w:rsid w:val="00AD2EC9"/>
    <w:rsid w:val="00AD49E8"/>
    <w:rsid w:val="00AE338D"/>
    <w:rsid w:val="00AE3707"/>
    <w:rsid w:val="00B16210"/>
    <w:rsid w:val="00B20B5C"/>
    <w:rsid w:val="00B41F06"/>
    <w:rsid w:val="00B55A52"/>
    <w:rsid w:val="00BA3CA2"/>
    <w:rsid w:val="00BB2C3B"/>
    <w:rsid w:val="00BD2C2F"/>
    <w:rsid w:val="00C252BC"/>
    <w:rsid w:val="00C25701"/>
    <w:rsid w:val="00C3313F"/>
    <w:rsid w:val="00C36767"/>
    <w:rsid w:val="00C70667"/>
    <w:rsid w:val="00C75B0F"/>
    <w:rsid w:val="00C81877"/>
    <w:rsid w:val="00C92F88"/>
    <w:rsid w:val="00CF011B"/>
    <w:rsid w:val="00D03AC2"/>
    <w:rsid w:val="00D176F6"/>
    <w:rsid w:val="00D42431"/>
    <w:rsid w:val="00D4752F"/>
    <w:rsid w:val="00D52B91"/>
    <w:rsid w:val="00DC1DDD"/>
    <w:rsid w:val="00DC490E"/>
    <w:rsid w:val="00DC7A11"/>
    <w:rsid w:val="00DE39D6"/>
    <w:rsid w:val="00E00063"/>
    <w:rsid w:val="00E17056"/>
    <w:rsid w:val="00F01495"/>
    <w:rsid w:val="00F202C5"/>
    <w:rsid w:val="00F23626"/>
    <w:rsid w:val="00F40499"/>
    <w:rsid w:val="00F61BD8"/>
    <w:rsid w:val="00FE0D69"/>
    <w:rsid w:val="4E44320F"/>
    <w:rsid w:val="68F3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5"/>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9"/>
    <w:unhideWhenUsed/>
    <w:qFormat/>
    <w:uiPriority w:val="99"/>
    <w:pPr>
      <w:spacing w:line="560" w:lineRule="exact"/>
      <w:ind w:firstLine="200" w:firstLineChars="200"/>
      <w:jc w:val="left"/>
    </w:pPr>
    <w:rPr>
      <w:rFonts w:cstheme="minorBidi"/>
      <w:sz w:val="32"/>
      <w:szCs w:val="22"/>
    </w:rPr>
  </w:style>
  <w:style w:type="paragraph" w:styleId="7">
    <w:name w:val="footer"/>
    <w:basedOn w:val="1"/>
    <w:link w:val="17"/>
    <w:uiPriority w:val="99"/>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39"/>
  </w:style>
  <w:style w:type="paragraph" w:styleId="10">
    <w:name w:val="toc 2"/>
    <w:basedOn w:val="1"/>
    <w:next w:val="1"/>
    <w:uiPriority w:val="39"/>
    <w:pPr>
      <w:ind w:left="420" w:leftChars="200"/>
    </w:pPr>
  </w:style>
  <w:style w:type="table" w:styleId="12">
    <w:name w:val="Table Grid"/>
    <w:basedOn w:val="1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uiPriority w:val="99"/>
    <w:rPr>
      <w:color w:val="0563C1" w:themeColor="hyperlink"/>
      <w:u w:val="single"/>
      <w14:textFill>
        <w14:solidFill>
          <w14:schemeClr w14:val="hlink"/>
        </w14:solidFill>
      </w14:textFill>
    </w:rPr>
  </w:style>
  <w:style w:type="character" w:styleId="15">
    <w:name w:val="annotation reference"/>
    <w:basedOn w:val="13"/>
    <w:unhideWhenUsed/>
    <w:qFormat/>
    <w:uiPriority w:val="99"/>
    <w:rPr>
      <w:sz w:val="21"/>
      <w:szCs w:val="21"/>
    </w:rPr>
  </w:style>
  <w:style w:type="character" w:customStyle="1" w:styleId="16">
    <w:name w:val="页眉 字符"/>
    <w:basedOn w:val="13"/>
    <w:link w:val="8"/>
    <w:uiPriority w:val="0"/>
    <w:rPr>
      <w:rFonts w:ascii="Times New Roman" w:hAnsi="Times New Roman" w:eastAsia="仿宋_GB2312"/>
      <w:kern w:val="2"/>
      <w:sz w:val="18"/>
      <w:szCs w:val="18"/>
    </w:rPr>
  </w:style>
  <w:style w:type="character" w:customStyle="1" w:styleId="17">
    <w:name w:val="页脚 字符"/>
    <w:basedOn w:val="13"/>
    <w:link w:val="7"/>
    <w:uiPriority w:val="99"/>
    <w:rPr>
      <w:rFonts w:ascii="Times New Roman" w:hAnsi="Times New Roman" w:eastAsia="仿宋_GB2312"/>
      <w:kern w:val="2"/>
      <w:sz w:val="18"/>
      <w:szCs w:val="18"/>
    </w:rPr>
  </w:style>
  <w:style w:type="character" w:customStyle="1" w:styleId="18">
    <w:name w:val="标题 2 字符"/>
    <w:basedOn w:val="13"/>
    <w:link w:val="3"/>
    <w:uiPriority w:val="0"/>
    <w:rPr>
      <w:rFonts w:ascii="Arial" w:hAnsi="Arial" w:eastAsia="黑体"/>
      <w:b/>
      <w:kern w:val="2"/>
      <w:sz w:val="32"/>
      <w:szCs w:val="24"/>
    </w:rPr>
  </w:style>
  <w:style w:type="character" w:customStyle="1" w:styleId="19">
    <w:name w:val="批注文字 字符"/>
    <w:basedOn w:val="13"/>
    <w:link w:val="6"/>
    <w:qFormat/>
    <w:uiPriority w:val="99"/>
    <w:rPr>
      <w:rFonts w:ascii="Times New Roman" w:hAnsi="Times New Roman" w:eastAsia="仿宋_GB2312" w:cstheme="minorBidi"/>
      <w:kern w:val="2"/>
      <w:sz w:val="32"/>
      <w:szCs w:val="22"/>
    </w:rPr>
  </w:style>
  <w:style w:type="table" w:customStyle="1" w:styleId="20">
    <w:name w:val="网格型6"/>
    <w:basedOn w:val="11"/>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表格"/>
    <w:basedOn w:val="1"/>
    <w:link w:val="22"/>
    <w:qFormat/>
    <w:uiPriority w:val="0"/>
    <w:pPr>
      <w:spacing w:line="360" w:lineRule="exact"/>
      <w:jc w:val="left"/>
    </w:pPr>
    <w:rPr>
      <w:rFonts w:cstheme="minorBidi"/>
      <w:bCs/>
      <w:sz w:val="24"/>
      <w:szCs w:val="22"/>
    </w:rPr>
  </w:style>
  <w:style w:type="character" w:customStyle="1" w:styleId="22">
    <w:name w:val="表格 字符"/>
    <w:basedOn w:val="13"/>
    <w:link w:val="21"/>
    <w:qFormat/>
    <w:uiPriority w:val="0"/>
    <w:rPr>
      <w:rFonts w:ascii="Times New Roman" w:hAnsi="Times New Roman" w:eastAsia="仿宋_GB2312" w:cstheme="minorBidi"/>
      <w:bCs/>
      <w:kern w:val="2"/>
      <w:sz w:val="24"/>
      <w:szCs w:val="22"/>
    </w:rPr>
  </w:style>
  <w:style w:type="character" w:customStyle="1" w:styleId="23">
    <w:name w:val="标题 1 字符"/>
    <w:basedOn w:val="13"/>
    <w:link w:val="2"/>
    <w:uiPriority w:val="0"/>
    <w:rPr>
      <w:rFonts w:ascii="Times New Roman" w:hAnsi="Times New Roman" w:eastAsia="仿宋_GB2312"/>
      <w:b/>
      <w:bCs/>
      <w:kern w:val="44"/>
      <w:sz w:val="44"/>
      <w:szCs w:val="44"/>
    </w:rPr>
  </w:style>
  <w:style w:type="paragraph" w:customStyle="1" w:styleId="2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5">
    <w:name w:val="标题 3 字符"/>
    <w:basedOn w:val="13"/>
    <w:link w:val="4"/>
    <w:semiHidden/>
    <w:uiPriority w:val="0"/>
    <w:rPr>
      <w:rFonts w:ascii="Times New Roman" w:hAnsi="Times New Roman" w:eastAsia="仿宋_GB2312"/>
      <w:b/>
      <w:bCs/>
      <w:kern w:val="2"/>
      <w:sz w:val="32"/>
      <w:szCs w:val="32"/>
    </w:rPr>
  </w:style>
  <w:style w:type="character" w:customStyle="1" w:styleId="26">
    <w:name w:val="标题 4 字符"/>
    <w:basedOn w:val="13"/>
    <w:link w:val="5"/>
    <w:semiHidden/>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3F822-984E-47D1-984E-F9D1D753BC6E}">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1917</Words>
  <Characters>10930</Characters>
  <Lines>91</Lines>
  <Paragraphs>25</Paragraphs>
  <TotalTime>0</TotalTime>
  <ScaleCrop>false</ScaleCrop>
  <LinksUpToDate>false</LinksUpToDate>
  <CharactersWithSpaces>12822</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2021-12-27T02:18:00Z</dcterms:created>
  <dc:creator>Administrator</dc:creator>
  <cp:lastModifiedBy>Administrator</cp:lastModifiedBy>
  <dcterms:modified xsi:type="dcterms:W3CDTF">2021-12-27T09:13:41Z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