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hAnsi="方正小标宋简体" w:eastAsia="方正小标宋简体" w:cs="方正小标宋简体"/>
          <w:color w:val="auto"/>
          <w:sz w:val="32"/>
          <w:szCs w:val="32"/>
          <w:highlight w:val="none"/>
        </w:rPr>
      </w:pPr>
      <w:r>
        <w:rPr>
          <w:rFonts w:hint="eastAsia" w:ascii="黑体" w:hAnsi="黑体" w:eastAsia="黑体" w:cs="黑体"/>
          <w:color w:val="auto"/>
          <w:sz w:val="32"/>
          <w:szCs w:val="32"/>
          <w:highlight w:val="none"/>
        </w:rPr>
        <w:t>附件4</w:t>
      </w:r>
    </w:p>
    <w:p>
      <w:pPr>
        <w:spacing w:line="560" w:lineRule="exact"/>
        <w:jc w:val="center"/>
        <w:rPr>
          <w:rFonts w:ascii="方正小标宋简体" w:hAnsi="方正小标宋简体" w:eastAsia="方正小标宋简体" w:cs="方正小标宋简体"/>
          <w:color w:val="auto"/>
          <w:sz w:val="32"/>
          <w:szCs w:val="32"/>
          <w:highlight w:val="none"/>
        </w:rPr>
      </w:pPr>
      <w:bookmarkStart w:id="0" w:name="_GoBack"/>
      <w:r>
        <w:rPr>
          <w:rFonts w:hint="eastAsia" w:ascii="方正小标宋简体" w:hAnsi="方正小标宋简体" w:eastAsia="方正小标宋简体" w:cs="方正小标宋简体"/>
          <w:color w:val="auto"/>
          <w:sz w:val="32"/>
          <w:szCs w:val="32"/>
          <w:highlight w:val="none"/>
        </w:rPr>
        <w:t>一、二类长者饭堂评估指标（参考）</w:t>
      </w:r>
    </w:p>
    <w:bookmarkEnd w:id="0"/>
    <w:tbl>
      <w:tblPr>
        <w:tblStyle w:val="3"/>
        <w:tblW w:w="9323" w:type="dxa"/>
        <w:jc w:val="center"/>
        <w:tblLayout w:type="fixed"/>
        <w:tblCellMar>
          <w:top w:w="0" w:type="dxa"/>
          <w:left w:w="108" w:type="dxa"/>
          <w:bottom w:w="0" w:type="dxa"/>
          <w:right w:w="108" w:type="dxa"/>
        </w:tblCellMar>
      </w:tblPr>
      <w:tblGrid>
        <w:gridCol w:w="1227"/>
        <w:gridCol w:w="1284"/>
        <w:gridCol w:w="4143"/>
        <w:gridCol w:w="1770"/>
        <w:gridCol w:w="899"/>
      </w:tblGrid>
      <w:tr>
        <w:tblPrEx>
          <w:tblCellMar>
            <w:top w:w="0" w:type="dxa"/>
            <w:left w:w="108" w:type="dxa"/>
            <w:bottom w:w="0" w:type="dxa"/>
            <w:right w:w="108" w:type="dxa"/>
          </w:tblCellMar>
        </w:tblPrEx>
        <w:trPr>
          <w:trHeight w:val="705" w:hRule="atLeast"/>
          <w:jc w:val="center"/>
        </w:trPr>
        <w:tc>
          <w:tcPr>
            <w:tcW w:w="12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一级指标</w:t>
            </w:r>
          </w:p>
        </w:tc>
        <w:tc>
          <w:tcPr>
            <w:tcW w:w="1284"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二级指标</w:t>
            </w:r>
          </w:p>
        </w:tc>
        <w:tc>
          <w:tcPr>
            <w:tcW w:w="4143"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三级指标</w:t>
            </w:r>
          </w:p>
        </w:tc>
        <w:tc>
          <w:tcPr>
            <w:tcW w:w="177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评估方法</w:t>
            </w:r>
          </w:p>
        </w:tc>
        <w:tc>
          <w:tcPr>
            <w:tcW w:w="89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分数</w:t>
            </w:r>
          </w:p>
        </w:tc>
      </w:tr>
      <w:tr>
        <w:tblPrEx>
          <w:tblCellMar>
            <w:top w:w="0" w:type="dxa"/>
            <w:left w:w="108" w:type="dxa"/>
            <w:bottom w:w="0" w:type="dxa"/>
            <w:right w:w="108" w:type="dxa"/>
          </w:tblCellMar>
        </w:tblPrEx>
        <w:trPr>
          <w:trHeight w:val="695" w:hRule="atLeast"/>
          <w:jc w:val="center"/>
        </w:trPr>
        <w:tc>
          <w:tcPr>
            <w:tcW w:w="12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（一）</w:t>
            </w:r>
          </w:p>
          <w:p>
            <w:pPr>
              <w:jc w:val="center"/>
              <w:rPr>
                <w:rFonts w:ascii="宋体" w:hAnsi="宋体" w:cs="宋体"/>
                <w:color w:val="auto"/>
                <w:szCs w:val="21"/>
                <w:highlight w:val="none"/>
              </w:rPr>
            </w:pPr>
            <w:r>
              <w:rPr>
                <w:rFonts w:hint="eastAsia" w:ascii="宋体" w:hAnsi="宋体" w:cs="宋体"/>
                <w:color w:val="auto"/>
                <w:szCs w:val="21"/>
                <w:highlight w:val="none"/>
              </w:rPr>
              <w:t>项目建设</w:t>
            </w:r>
          </w:p>
          <w:p>
            <w:pPr>
              <w:jc w:val="center"/>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5分）</w:t>
            </w:r>
          </w:p>
        </w:tc>
        <w:tc>
          <w:tcPr>
            <w:tcW w:w="128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1.1选址合理（3分）</w:t>
            </w: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1.居住人口集中，交通便利，供电、给排水、通讯等市政条件较好。</w:t>
            </w:r>
          </w:p>
        </w:tc>
        <w:tc>
          <w:tcPr>
            <w:tcW w:w="1770" w:type="dxa"/>
            <w:vMerge w:val="restart"/>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1.实地查看场地周边社区环境</w:t>
            </w:r>
          </w:p>
          <w:p>
            <w:pPr>
              <w:rPr>
                <w:rFonts w:ascii="宋体" w:hAnsi="宋体" w:cs="宋体"/>
                <w:color w:val="auto"/>
                <w:sz w:val="18"/>
                <w:szCs w:val="18"/>
                <w:highlight w:val="none"/>
              </w:rPr>
            </w:pPr>
            <w:r>
              <w:rPr>
                <w:rFonts w:hint="eastAsia" w:ascii="宋体" w:hAnsi="宋体" w:cs="宋体"/>
                <w:color w:val="auto"/>
                <w:sz w:val="18"/>
                <w:szCs w:val="18"/>
                <w:highlight w:val="none"/>
              </w:rPr>
              <w:t>2.实地访谈长者饭堂工作人员、服务对象</w:t>
            </w:r>
          </w:p>
        </w:tc>
        <w:tc>
          <w:tcPr>
            <w:tcW w:w="89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　</w:t>
            </w:r>
          </w:p>
        </w:tc>
      </w:tr>
      <w:tr>
        <w:tblPrEx>
          <w:tblCellMar>
            <w:top w:w="0" w:type="dxa"/>
            <w:left w:w="108" w:type="dxa"/>
            <w:bottom w:w="0" w:type="dxa"/>
            <w:right w:w="108" w:type="dxa"/>
          </w:tblCellMar>
        </w:tblPrEx>
        <w:trPr>
          <w:trHeight w:val="427"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2.临近医疗、为老服务等社区公共服务设施。</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3.环境安静，与高噪声、污染源的防护距离符合有关安全卫生规定。</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465"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1.2场地要求</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w:t>
            </w:r>
            <w:r>
              <w:rPr>
                <w:rFonts w:ascii="宋体" w:hAnsi="宋体" w:cs="宋体"/>
                <w:color w:val="auto"/>
                <w:sz w:val="18"/>
                <w:szCs w:val="18"/>
                <w:highlight w:val="none"/>
              </w:rPr>
              <w:t>3</w:t>
            </w:r>
            <w:r>
              <w:rPr>
                <w:rFonts w:hint="eastAsia" w:ascii="宋体" w:hAnsi="宋体" w:cs="宋体"/>
                <w:color w:val="auto"/>
                <w:sz w:val="18"/>
                <w:szCs w:val="18"/>
                <w:highlight w:val="none"/>
              </w:rPr>
              <w:t>分）</w:t>
            </w: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1.长者饭堂运营机构具有合法房产及场地使用权。</w:t>
            </w:r>
          </w:p>
        </w:tc>
        <w:tc>
          <w:tcPr>
            <w:tcW w:w="1770" w:type="dxa"/>
            <w:vMerge w:val="restart"/>
            <w:tcBorders>
              <w:top w:val="nil"/>
              <w:left w:val="single" w:color="auto" w:sz="4" w:space="0"/>
              <w:bottom w:val="single" w:color="000000" w:sz="4" w:space="0"/>
              <w:right w:val="single" w:color="auto"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1.检查场地房产证或场地租赁合同</w:t>
            </w:r>
          </w:p>
          <w:p>
            <w:pPr>
              <w:jc w:val="left"/>
              <w:rPr>
                <w:rFonts w:ascii="宋体" w:hAnsi="宋体" w:cs="宋体"/>
                <w:color w:val="auto"/>
                <w:sz w:val="18"/>
                <w:szCs w:val="18"/>
                <w:highlight w:val="none"/>
              </w:rPr>
            </w:pPr>
            <w:r>
              <w:rPr>
                <w:rFonts w:hint="eastAsia" w:ascii="宋体" w:hAnsi="宋体" w:cs="宋体"/>
                <w:color w:val="auto"/>
                <w:sz w:val="18"/>
                <w:szCs w:val="18"/>
                <w:highlight w:val="none"/>
              </w:rPr>
              <w:t>2.实地查看长者饭堂具体建设</w:t>
            </w: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1223"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街道（社区）长者饭堂厨房操作间30㎡以上，人均就餐面积不小于0.2㎡；社区助餐服务点配餐操作间10㎡以上，人均就餐面积不小于0.2㎡；社会餐饮企业设立不少于15㎡的老年人优先就餐场地，并进行适老化改造。</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36"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1.3硬件设施建设</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（6分）</w:t>
            </w:r>
          </w:p>
        </w:tc>
        <w:tc>
          <w:tcPr>
            <w:tcW w:w="4143" w:type="dxa"/>
            <w:tcBorders>
              <w:top w:val="nil"/>
              <w:left w:val="nil"/>
              <w:bottom w:val="nil"/>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1.应设置便于老年人行动的无障碍设施。</w:t>
            </w:r>
          </w:p>
        </w:tc>
        <w:tc>
          <w:tcPr>
            <w:tcW w:w="1770" w:type="dxa"/>
            <w:vMerge w:val="restart"/>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1.实地查看</w:t>
            </w: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690"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4143" w:type="dxa"/>
            <w:tcBorders>
              <w:top w:val="single" w:color="auto" w:sz="4" w:space="0"/>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2.水源充足，水质达到卫生标准，有供应热水的设施，供水卫生良好。设有专用洗涮池，有相应消毒设施，并配置有冷藏设备。</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481"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3.加工间生产操作合理，设有配料操作台。</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691"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4.就餐场所设有就餐桌椅以及餐具存放和洗手等设施，就餐入口应有防蝇设施。</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5.备餐间：有紫外线消毒设施、备餐台、专用工具容器，场所相对独立。</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6.食堂外设有垃圾箱以及专用排污池，排污通道防鼠良好，垃圾处理及时。</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7.长者饭堂运营机构供电设施应符合设备和照明用电负荷的要求，并配置应急电源设备。</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893"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1.4标识外观（3分）</w:t>
            </w: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 xml:space="preserve">1.长者饭堂运营机构应在服务场所显著位置悬挂“长者饭堂”、“老年人助餐点”证照或者标识，采用全区统一标识。 </w:t>
            </w:r>
          </w:p>
        </w:tc>
        <w:tc>
          <w:tcPr>
            <w:tcW w:w="1770" w:type="dxa"/>
            <w:vMerge w:val="restart"/>
            <w:tcBorders>
              <w:top w:val="nil"/>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1.实地查看长者饭堂运营机构悬挂标识和餐桌布局</w:t>
            </w: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699"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2.长者饭堂餐桌布置应考虑老年人身体特点，便于老年人就餐，布局合理、安全。</w:t>
            </w:r>
          </w:p>
        </w:tc>
        <w:tc>
          <w:tcPr>
            <w:tcW w:w="177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631"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3.“</w:t>
            </w:r>
            <w:r>
              <w:rPr>
                <w:rFonts w:hint="eastAsia" w:ascii="宋体" w:hAnsi="宋体" w:cs="宋体"/>
                <w:color w:val="auto"/>
                <w:sz w:val="18"/>
                <w:szCs w:val="18"/>
                <w:highlight w:val="none"/>
                <w:lang w:eastAsia="zh-CN"/>
              </w:rPr>
              <w:t>七</w:t>
            </w:r>
            <w:r>
              <w:rPr>
                <w:rFonts w:hint="eastAsia" w:ascii="宋体" w:hAnsi="宋体" w:cs="宋体"/>
                <w:color w:val="auto"/>
                <w:sz w:val="18"/>
                <w:szCs w:val="18"/>
                <w:highlight w:val="none"/>
              </w:rPr>
              <w:t>公示”上墙。</w:t>
            </w:r>
          </w:p>
        </w:tc>
        <w:tc>
          <w:tcPr>
            <w:tcW w:w="177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（二）</w:t>
            </w:r>
          </w:p>
          <w:p>
            <w:pPr>
              <w:jc w:val="center"/>
              <w:rPr>
                <w:rFonts w:ascii="宋体" w:hAnsi="宋体" w:cs="宋体"/>
                <w:color w:val="auto"/>
                <w:szCs w:val="21"/>
                <w:highlight w:val="none"/>
              </w:rPr>
            </w:pPr>
            <w:r>
              <w:rPr>
                <w:rFonts w:hint="eastAsia" w:ascii="宋体" w:hAnsi="宋体" w:cs="宋体"/>
                <w:color w:val="auto"/>
                <w:szCs w:val="21"/>
                <w:highlight w:val="none"/>
              </w:rPr>
              <w:t>人员配备（7分）</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2.1管理人员</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（3分）</w:t>
            </w:r>
          </w:p>
        </w:tc>
        <w:tc>
          <w:tcPr>
            <w:tcW w:w="4143" w:type="dxa"/>
            <w:tcBorders>
              <w:top w:val="single" w:color="auto" w:sz="4" w:space="0"/>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1.长者饭堂运营机构配有专门管理人员。</w:t>
            </w:r>
          </w:p>
        </w:tc>
        <w:tc>
          <w:tcPr>
            <w:tcW w:w="1770" w:type="dxa"/>
            <w:vMerge w:val="restart"/>
            <w:tcBorders>
              <w:top w:val="single" w:color="auto" w:sz="4" w:space="0"/>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1.与长者饭堂运营机构主管交谈，查看相关记录。</w:t>
            </w:r>
          </w:p>
        </w:tc>
        <w:tc>
          <w:tcPr>
            <w:tcW w:w="899"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r>
              <w:rPr>
                <w:rFonts w:hint="eastAsia" w:ascii="宋体" w:hAnsi="宋体" w:cs="宋体"/>
                <w:color w:val="auto"/>
                <w:highlight w:val="none"/>
              </w:rPr>
              <w:t>　</w:t>
            </w: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2.持健康合格证和卫生知识培训合格证上岗。</w:t>
            </w:r>
          </w:p>
        </w:tc>
        <w:tc>
          <w:tcPr>
            <w:tcW w:w="1770"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3.检查餐饮服务环节中的食品安全状况并记录，对检查中发现的不符合要求的行为及时制止并提出处理意见。</w:t>
            </w:r>
          </w:p>
        </w:tc>
        <w:tc>
          <w:tcPr>
            <w:tcW w:w="1770"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single" w:color="auto" w:sz="4" w:space="0"/>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4.食品安全管理人员应组织从业人员进行食品安全教育和培训。</w:t>
            </w:r>
          </w:p>
        </w:tc>
        <w:tc>
          <w:tcPr>
            <w:tcW w:w="1770"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shd w:val="clear" w:color="000000" w:fill="FFFFFF"/>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5.配合食品药品监督管理部门对餐饮食品安全进行监督检查，并如实提供有关情况。</w:t>
            </w:r>
          </w:p>
        </w:tc>
        <w:tc>
          <w:tcPr>
            <w:tcW w:w="1770"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0"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p>
        </w:tc>
        <w:tc>
          <w:tcPr>
            <w:tcW w:w="128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2.2工作人员（4分）</w:t>
            </w:r>
          </w:p>
        </w:tc>
        <w:tc>
          <w:tcPr>
            <w:tcW w:w="4143" w:type="dxa"/>
            <w:tcBorders>
              <w:top w:val="nil"/>
              <w:left w:val="nil"/>
              <w:bottom w:val="single" w:color="auto" w:sz="4" w:space="0"/>
              <w:right w:val="single" w:color="auto" w:sz="4" w:space="0"/>
            </w:tcBorders>
            <w:shd w:val="clear" w:color="000000" w:fill="FFFFFF"/>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1.个人卫生习惯良好，持健康合格证和卫生知识培训合格证上岗。</w:t>
            </w:r>
          </w:p>
        </w:tc>
        <w:tc>
          <w:tcPr>
            <w:tcW w:w="1770" w:type="dxa"/>
            <w:vMerge w:val="restart"/>
            <w:tcBorders>
              <w:top w:val="nil"/>
              <w:left w:val="single" w:color="auto" w:sz="4" w:space="0"/>
              <w:bottom w:val="single" w:color="000000" w:sz="4" w:space="0"/>
              <w:right w:val="single" w:color="auto"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1.检核员工职业资格证书情况</w:t>
            </w:r>
          </w:p>
          <w:p>
            <w:pPr>
              <w:jc w:val="left"/>
              <w:rPr>
                <w:rFonts w:ascii="宋体" w:hAnsi="宋体" w:cs="宋体"/>
                <w:color w:val="auto"/>
                <w:sz w:val="18"/>
                <w:szCs w:val="18"/>
                <w:highlight w:val="none"/>
              </w:rPr>
            </w:pPr>
            <w:r>
              <w:rPr>
                <w:rFonts w:hint="eastAsia" w:ascii="宋体" w:hAnsi="宋体" w:cs="宋体"/>
                <w:color w:val="auto"/>
                <w:sz w:val="18"/>
                <w:szCs w:val="18"/>
                <w:highlight w:val="none"/>
              </w:rPr>
              <w:t>2.与服务对象、员工进行交谈</w:t>
            </w:r>
          </w:p>
          <w:p>
            <w:pPr>
              <w:jc w:val="left"/>
              <w:rPr>
                <w:rFonts w:ascii="宋体" w:hAnsi="宋体" w:cs="宋体"/>
                <w:color w:val="auto"/>
                <w:sz w:val="18"/>
                <w:szCs w:val="18"/>
                <w:highlight w:val="none"/>
              </w:rPr>
            </w:pPr>
            <w:r>
              <w:rPr>
                <w:rFonts w:hint="eastAsia" w:ascii="宋体" w:hAnsi="宋体" w:cs="宋体"/>
                <w:color w:val="auto"/>
                <w:sz w:val="18"/>
                <w:szCs w:val="18"/>
                <w:highlight w:val="none"/>
              </w:rPr>
              <w:t>3.查看合同档案</w:t>
            </w:r>
          </w:p>
        </w:tc>
        <w:tc>
          <w:tcPr>
            <w:tcW w:w="899"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　</w:t>
            </w: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2.尊敬老年人，遵守职业道德；人员需经过相应培训。</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3.专职工作人员应签订劳动合同，兼职工作人员应签订劳务合同。</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shd w:val="clear" w:color="000000" w:fill="FFFFFF"/>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4.注意个人卫生，穿戴整洁工作衣帽，工作期间应戴口罩。</w:t>
            </w:r>
          </w:p>
        </w:tc>
        <w:tc>
          <w:tcPr>
            <w:tcW w:w="177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990" w:hRule="atLeast"/>
          <w:jc w:val="center"/>
        </w:trPr>
        <w:tc>
          <w:tcPr>
            <w:tcW w:w="1227" w:type="dxa"/>
            <w:vMerge w:val="restart"/>
            <w:tcBorders>
              <w:top w:val="single" w:color="auto" w:sz="4" w:space="0"/>
              <w:left w:val="single" w:color="auto" w:sz="4" w:space="0"/>
              <w:right w:val="single" w:color="auto" w:sz="4" w:space="0"/>
            </w:tcBorders>
            <w:vAlign w:val="center"/>
          </w:tcPr>
          <w:p>
            <w:pPr>
              <w:numPr>
                <w:ilvl w:val="0"/>
                <w:numId w:val="1"/>
              </w:numPr>
              <w:jc w:val="cente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规范运营</w:t>
            </w:r>
          </w:p>
          <w:p>
            <w:pPr>
              <w:jc w:val="center"/>
              <w:rPr>
                <w:rFonts w:ascii="宋体" w:hAnsi="宋体" w:cs="宋体"/>
                <w:color w:val="auto"/>
                <w:szCs w:val="21"/>
                <w:highlight w:val="none"/>
              </w:rPr>
            </w:pPr>
            <w:r>
              <w:rPr>
                <w:rFonts w:hint="eastAsia" w:ascii="宋体" w:hAnsi="宋体" w:cs="宋体"/>
                <w:color w:val="auto"/>
                <w:szCs w:val="21"/>
                <w:highlight w:val="none"/>
              </w:rPr>
              <w:t xml:space="preserve">（23分）   </w:t>
            </w:r>
          </w:p>
        </w:tc>
        <w:tc>
          <w:tcPr>
            <w:tcW w:w="128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3.1财务管理</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（5分）</w:t>
            </w: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1.按规范使用福田区拨付的长者饭堂建设运营资助经费，任何单位、组织和个人不得挤占、截留、挪用专项经费和擅自改变使用性质,定期公示资金使用情况，并于每年度提供相应财务报表及审计报告。</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1.查阅账本</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　</w:t>
            </w:r>
          </w:p>
        </w:tc>
      </w:tr>
      <w:tr>
        <w:tblPrEx>
          <w:tblCellMar>
            <w:top w:w="0" w:type="dxa"/>
            <w:left w:w="108" w:type="dxa"/>
            <w:bottom w:w="0" w:type="dxa"/>
            <w:right w:w="108" w:type="dxa"/>
          </w:tblCellMar>
        </w:tblPrEx>
        <w:trPr>
          <w:trHeight w:val="548"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2.长者饭堂运营机构按照服务项目、服务内容和设施设备条件，以非营利为原则制定服务收费。</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50" w:hRule="atLeast"/>
          <w:jc w:val="center"/>
        </w:trPr>
        <w:tc>
          <w:tcPr>
            <w:tcW w:w="1227" w:type="dxa"/>
            <w:vMerge w:val="continue"/>
            <w:tcBorders>
              <w:left w:val="single" w:color="auto" w:sz="4" w:space="0"/>
              <w:right w:val="single" w:color="auto" w:sz="4" w:space="0"/>
            </w:tcBorders>
            <w:shd w:val="clear" w:color="auto" w:fill="auto"/>
            <w:vAlign w:val="center"/>
          </w:tcPr>
          <w:p>
            <w:pPr>
              <w:rPr>
                <w:rFonts w:ascii="宋体" w:hAnsi="宋体" w:cs="宋体"/>
                <w:color w:val="auto"/>
                <w:szCs w:val="21"/>
                <w:highlight w:val="none"/>
              </w:rPr>
            </w:pPr>
          </w:p>
        </w:tc>
        <w:tc>
          <w:tcPr>
            <w:tcW w:w="128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3.2安全管理</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（6分）</w:t>
            </w:r>
          </w:p>
        </w:tc>
        <w:tc>
          <w:tcPr>
            <w:tcW w:w="4143" w:type="dxa"/>
            <w:tcBorders>
              <w:top w:val="nil"/>
              <w:left w:val="nil"/>
              <w:bottom w:val="single" w:color="auto" w:sz="4" w:space="0"/>
              <w:right w:val="single" w:color="auto" w:sz="4" w:space="0"/>
            </w:tcBorders>
            <w:shd w:val="clear" w:color="000000" w:fill="FFFFFF"/>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1.建立食品安全管理档案，保存各种检查记录，食品留样72小时。</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1.查看相关资料与长者饭堂主管进行交谈</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　</w:t>
            </w:r>
          </w:p>
        </w:tc>
      </w:tr>
      <w:tr>
        <w:tblPrEx>
          <w:tblCellMar>
            <w:top w:w="0" w:type="dxa"/>
            <w:left w:w="108" w:type="dxa"/>
            <w:bottom w:w="0" w:type="dxa"/>
            <w:right w:w="108" w:type="dxa"/>
          </w:tblCellMar>
        </w:tblPrEx>
        <w:trPr>
          <w:trHeight w:val="548"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2.制定有人身安全意外应急处理流程办法。</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960"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3.长者饭堂应当建立并落实食品安全自检自查和报告制度。采取定期与不定期相结合的方式，加强对食堂食品安全状况的自查自纠，及时排除风险隐患。</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720"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4.按照消防部门检查要求配置消防栓、灭火器等消防器材。</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53"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5.存放食品的仓库应当干燥、通风。</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720" w:hRule="atLeast"/>
          <w:jc w:val="center"/>
        </w:trPr>
        <w:tc>
          <w:tcPr>
            <w:tcW w:w="1227" w:type="dxa"/>
            <w:vMerge w:val="continue"/>
            <w:tcBorders>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6.委托配餐的，应选择有食品卫生安全资质的供应商。</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（三）</w:t>
            </w:r>
          </w:p>
          <w:p>
            <w:pPr>
              <w:rPr>
                <w:rFonts w:ascii="宋体" w:hAnsi="宋体" w:cs="宋体"/>
                <w:color w:val="auto"/>
                <w:szCs w:val="21"/>
                <w:highlight w:val="none"/>
              </w:rPr>
            </w:pPr>
            <w:r>
              <w:rPr>
                <w:rFonts w:hint="eastAsia" w:ascii="宋体" w:hAnsi="宋体" w:cs="宋体"/>
                <w:color w:val="auto"/>
                <w:szCs w:val="21"/>
                <w:highlight w:val="none"/>
              </w:rPr>
              <w:t>规范运营</w:t>
            </w:r>
          </w:p>
          <w:p>
            <w:pPr>
              <w:rPr>
                <w:rFonts w:ascii="宋体" w:hAnsi="宋体" w:cs="宋体"/>
                <w:color w:val="auto"/>
                <w:szCs w:val="21"/>
                <w:highlight w:val="none"/>
              </w:rPr>
            </w:pPr>
            <w:r>
              <w:rPr>
                <w:rFonts w:hint="eastAsia" w:ascii="宋体" w:hAnsi="宋体" w:cs="宋体"/>
                <w:color w:val="auto"/>
                <w:szCs w:val="21"/>
                <w:highlight w:val="none"/>
              </w:rPr>
              <w:t>（23分）</w:t>
            </w:r>
          </w:p>
        </w:tc>
        <w:tc>
          <w:tcPr>
            <w:tcW w:w="1284"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3.3采购管理</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（6分）</w:t>
            </w:r>
          </w:p>
        </w:tc>
        <w:tc>
          <w:tcPr>
            <w:tcW w:w="41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1.严选新鲜、优质食材。</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1.实地查看</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　</w:t>
            </w:r>
          </w:p>
        </w:tc>
      </w:tr>
      <w:tr>
        <w:tblPrEx>
          <w:tblCellMar>
            <w:top w:w="0" w:type="dxa"/>
            <w:left w:w="108" w:type="dxa"/>
            <w:bottom w:w="0" w:type="dxa"/>
            <w:right w:w="108" w:type="dxa"/>
          </w:tblCellMar>
        </w:tblPrEx>
        <w:trPr>
          <w:trHeight w:val="750"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41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2.采购食品、食品添加剂及食品相关产品，应当到证照齐全的食品生产经营单位或批发市场采购。</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459"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3.4制度管理</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（6分）</w:t>
            </w:r>
          </w:p>
        </w:tc>
        <w:tc>
          <w:tcPr>
            <w:tcW w:w="4143" w:type="dxa"/>
            <w:tcBorders>
              <w:top w:val="single" w:color="auto" w:sz="4" w:space="0"/>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1.建立场所及设施设备清洗消毒和维修保养制度。</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1.文件查阅</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　</w:t>
            </w:r>
          </w:p>
        </w:tc>
      </w:tr>
      <w:tr>
        <w:tblPrEx>
          <w:tblCellMar>
            <w:top w:w="0" w:type="dxa"/>
            <w:left w:w="108" w:type="dxa"/>
            <w:bottom w:w="0" w:type="dxa"/>
            <w:right w:w="108" w:type="dxa"/>
          </w:tblCellMar>
        </w:tblPrEx>
        <w:trPr>
          <w:trHeight w:val="690"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2.建立并落实食品、食品添加剂及食品相关产品采购索证索票、进货查验和采购验收制度，由食品安全管理员负责台账记录和保管工作，保障食品安全。</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457" w:hRule="atLeast"/>
          <w:jc w:val="center"/>
        </w:trPr>
        <w:tc>
          <w:tcPr>
            <w:tcW w:w="1227" w:type="dxa"/>
            <w:vMerge w:val="continue"/>
            <w:tcBorders>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3.建立、健全并组织安全生产责任制。</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（四）</w:t>
            </w:r>
          </w:p>
          <w:p>
            <w:pPr>
              <w:jc w:val="center"/>
              <w:rPr>
                <w:rFonts w:ascii="宋体" w:hAnsi="宋体" w:cs="宋体"/>
                <w:color w:val="auto"/>
                <w:szCs w:val="21"/>
                <w:highlight w:val="none"/>
              </w:rPr>
            </w:pPr>
            <w:r>
              <w:rPr>
                <w:rFonts w:hint="eastAsia" w:ascii="宋体" w:hAnsi="宋体" w:cs="宋体"/>
                <w:color w:val="auto"/>
                <w:szCs w:val="21"/>
                <w:highlight w:val="none"/>
              </w:rPr>
              <w:t>运营成效（</w:t>
            </w:r>
            <w:r>
              <w:rPr>
                <w:rFonts w:ascii="宋体" w:hAnsi="宋体" w:cs="宋体"/>
                <w:color w:val="auto"/>
                <w:szCs w:val="21"/>
                <w:highlight w:val="none"/>
              </w:rPr>
              <w:t>40</w:t>
            </w:r>
            <w:r>
              <w:rPr>
                <w:rFonts w:hint="eastAsia" w:ascii="宋体" w:hAnsi="宋体" w:cs="宋体"/>
                <w:color w:val="auto"/>
                <w:szCs w:val="21"/>
                <w:highlight w:val="none"/>
              </w:rPr>
              <w:t>分）</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4.1需求为本（5分）</w:t>
            </w:r>
          </w:p>
        </w:tc>
        <w:tc>
          <w:tcPr>
            <w:tcW w:w="4143" w:type="dxa"/>
            <w:tcBorders>
              <w:top w:val="single" w:color="auto" w:sz="4" w:space="0"/>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1.切实了解本区域内老年人的用餐、就餐服务需求。</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1.与管理人员进行交流</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　</w:t>
            </w: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2.定期评估服务对象需求及健康状况,并结合老年人个性化膳食营养需求和饮食禁忌为老年人制定健康食谱。</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3.有清晰、明确目标服务群体。</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284" w:type="dxa"/>
            <w:vMerge w:val="restart"/>
            <w:tcBorders>
              <w:top w:val="nil"/>
              <w:left w:val="single" w:color="auto" w:sz="4" w:space="0"/>
              <w:right w:val="sing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4.</w:t>
            </w:r>
            <w:r>
              <w:rPr>
                <w:rFonts w:ascii="宋体" w:hAnsi="宋体" w:cs="宋体"/>
                <w:color w:val="auto"/>
                <w:sz w:val="18"/>
                <w:szCs w:val="18"/>
                <w:highlight w:val="none"/>
              </w:rPr>
              <w:t>2</w:t>
            </w:r>
            <w:r>
              <w:rPr>
                <w:rFonts w:hint="eastAsia" w:ascii="宋体" w:hAnsi="宋体" w:cs="宋体"/>
                <w:color w:val="auto"/>
                <w:sz w:val="18"/>
                <w:szCs w:val="18"/>
                <w:highlight w:val="none"/>
              </w:rPr>
              <w:t>服务人次/量</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w:t>
            </w:r>
            <w:r>
              <w:rPr>
                <w:rFonts w:ascii="宋体" w:hAnsi="宋体" w:cs="宋体"/>
                <w:color w:val="auto"/>
                <w:sz w:val="18"/>
                <w:szCs w:val="18"/>
                <w:highlight w:val="none"/>
              </w:rPr>
              <w:t>20</w:t>
            </w:r>
            <w:r>
              <w:rPr>
                <w:rFonts w:hint="eastAsia" w:ascii="宋体" w:hAnsi="宋体" w:cs="宋体"/>
                <w:color w:val="auto"/>
                <w:sz w:val="18"/>
                <w:szCs w:val="18"/>
                <w:highlight w:val="none"/>
              </w:rPr>
              <w:t>分）</w:t>
            </w: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1.街道（社区）长者饭堂服务人次/量。按年服务人次/量达</w:t>
            </w:r>
            <w:r>
              <w:rPr>
                <w:rFonts w:ascii="宋体" w:hAnsi="宋体" w:cs="宋体"/>
                <w:color w:val="auto"/>
                <w:sz w:val="18"/>
                <w:szCs w:val="18"/>
                <w:highlight w:val="none"/>
              </w:rPr>
              <w:t>3000</w:t>
            </w:r>
            <w:r>
              <w:rPr>
                <w:rFonts w:hint="eastAsia" w:ascii="宋体" w:hAnsi="宋体" w:cs="宋体"/>
                <w:color w:val="auto"/>
                <w:sz w:val="18"/>
                <w:szCs w:val="18"/>
                <w:highlight w:val="none"/>
              </w:rPr>
              <w:t>为基数，基数分为10分，每增加</w:t>
            </w:r>
            <w:r>
              <w:rPr>
                <w:rFonts w:ascii="宋体" w:hAnsi="宋体" w:cs="宋体"/>
                <w:color w:val="auto"/>
                <w:sz w:val="18"/>
                <w:szCs w:val="18"/>
                <w:highlight w:val="none"/>
              </w:rPr>
              <w:t>300</w:t>
            </w:r>
            <w:r>
              <w:rPr>
                <w:rFonts w:hint="eastAsia" w:ascii="宋体" w:hAnsi="宋体" w:cs="宋体"/>
                <w:color w:val="auto"/>
                <w:sz w:val="18"/>
                <w:szCs w:val="18"/>
                <w:highlight w:val="none"/>
              </w:rPr>
              <w:t>人次/量增加1分，最高得分</w:t>
            </w:r>
            <w:r>
              <w:rPr>
                <w:rFonts w:ascii="宋体" w:hAnsi="宋体" w:cs="宋体"/>
                <w:color w:val="auto"/>
                <w:sz w:val="18"/>
                <w:szCs w:val="18"/>
                <w:highlight w:val="none"/>
              </w:rPr>
              <w:t>20</w:t>
            </w:r>
            <w:r>
              <w:rPr>
                <w:rFonts w:hint="eastAsia" w:ascii="宋体" w:hAnsi="宋体" w:cs="宋体"/>
                <w:color w:val="auto"/>
                <w:sz w:val="18"/>
                <w:szCs w:val="18"/>
                <w:highlight w:val="none"/>
              </w:rPr>
              <w:t>分，未达基数该项不得分。</w:t>
            </w:r>
          </w:p>
        </w:tc>
        <w:tc>
          <w:tcPr>
            <w:tcW w:w="177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1.查阅台账</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2.社区助餐服务点服务人次/量。按年服务人次/量达</w:t>
            </w:r>
            <w:r>
              <w:rPr>
                <w:rFonts w:ascii="宋体" w:hAnsi="宋体" w:cs="宋体"/>
                <w:color w:val="auto"/>
                <w:sz w:val="18"/>
                <w:szCs w:val="18"/>
                <w:highlight w:val="none"/>
              </w:rPr>
              <w:t>2000</w:t>
            </w:r>
            <w:r>
              <w:rPr>
                <w:rFonts w:hint="eastAsia" w:ascii="宋体" w:hAnsi="宋体" w:cs="宋体"/>
                <w:color w:val="auto"/>
                <w:sz w:val="18"/>
                <w:szCs w:val="18"/>
                <w:highlight w:val="none"/>
              </w:rPr>
              <w:t>为基数，基数分为10分，每增加</w:t>
            </w:r>
            <w:r>
              <w:rPr>
                <w:rFonts w:ascii="宋体" w:hAnsi="宋体" w:cs="宋体"/>
                <w:color w:val="auto"/>
                <w:sz w:val="18"/>
                <w:szCs w:val="18"/>
                <w:highlight w:val="none"/>
              </w:rPr>
              <w:t>200</w:t>
            </w:r>
            <w:r>
              <w:rPr>
                <w:rFonts w:hint="eastAsia" w:ascii="宋体" w:hAnsi="宋体" w:cs="宋体"/>
                <w:color w:val="auto"/>
                <w:sz w:val="18"/>
                <w:szCs w:val="18"/>
                <w:highlight w:val="none"/>
              </w:rPr>
              <w:t>人次/量增加1分，最高得分</w:t>
            </w:r>
            <w:r>
              <w:rPr>
                <w:rFonts w:ascii="宋体" w:hAnsi="宋体" w:cs="宋体"/>
                <w:color w:val="auto"/>
                <w:sz w:val="18"/>
                <w:szCs w:val="18"/>
                <w:highlight w:val="none"/>
              </w:rPr>
              <w:t>20</w:t>
            </w:r>
            <w:r>
              <w:rPr>
                <w:rFonts w:hint="eastAsia" w:ascii="宋体" w:hAnsi="宋体" w:cs="宋体"/>
                <w:color w:val="auto"/>
                <w:sz w:val="18"/>
                <w:szCs w:val="18"/>
                <w:highlight w:val="none"/>
              </w:rPr>
              <w:t>分，未达基数该项不得分。</w:t>
            </w:r>
          </w:p>
        </w:tc>
        <w:tc>
          <w:tcPr>
            <w:tcW w:w="177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1.查阅台账</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4.</w:t>
            </w:r>
            <w:r>
              <w:rPr>
                <w:rFonts w:ascii="宋体" w:hAnsi="宋体" w:cs="宋体"/>
                <w:color w:val="auto"/>
                <w:sz w:val="18"/>
                <w:szCs w:val="18"/>
                <w:highlight w:val="none"/>
              </w:rPr>
              <w:t>3</w:t>
            </w:r>
            <w:r>
              <w:rPr>
                <w:rFonts w:hint="eastAsia" w:ascii="宋体" w:hAnsi="宋体" w:cs="宋体"/>
                <w:color w:val="auto"/>
                <w:sz w:val="18"/>
                <w:szCs w:val="18"/>
                <w:highlight w:val="none"/>
              </w:rPr>
              <w:t>服务开展（</w:t>
            </w:r>
            <w:r>
              <w:rPr>
                <w:rFonts w:ascii="宋体" w:hAnsi="宋体" w:cs="宋体"/>
                <w:color w:val="auto"/>
                <w:sz w:val="18"/>
                <w:szCs w:val="18"/>
                <w:highlight w:val="none"/>
              </w:rPr>
              <w:t>15</w:t>
            </w:r>
            <w:r>
              <w:rPr>
                <w:rFonts w:hint="eastAsia" w:ascii="宋体" w:hAnsi="宋体" w:cs="宋体"/>
                <w:color w:val="auto"/>
                <w:sz w:val="18"/>
                <w:szCs w:val="18"/>
                <w:highlight w:val="none"/>
              </w:rPr>
              <w:t>分）</w:t>
            </w: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1.运营以来，有为社区居住老年人用餐、就餐需要人提供配送或者用餐服务。</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1.与管理人员访谈</w:t>
            </w:r>
          </w:p>
          <w:p>
            <w:pPr>
              <w:jc w:val="left"/>
              <w:rPr>
                <w:rFonts w:ascii="宋体" w:hAnsi="宋体" w:cs="宋体"/>
                <w:color w:val="auto"/>
                <w:sz w:val="18"/>
                <w:szCs w:val="18"/>
                <w:highlight w:val="none"/>
              </w:rPr>
            </w:pPr>
            <w:r>
              <w:rPr>
                <w:rFonts w:hint="eastAsia" w:ascii="宋体" w:hAnsi="宋体" w:cs="宋体"/>
                <w:color w:val="auto"/>
                <w:sz w:val="18"/>
                <w:szCs w:val="18"/>
                <w:highlight w:val="none"/>
              </w:rPr>
              <w:t>2.与服务对象访谈</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　</w:t>
            </w: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2.服务对象用餐满意度应达9</w:t>
            </w:r>
            <w:r>
              <w:rPr>
                <w:rFonts w:ascii="宋体" w:hAnsi="宋体" w:cs="宋体"/>
                <w:color w:val="auto"/>
                <w:sz w:val="18"/>
                <w:szCs w:val="18"/>
                <w:highlight w:val="none"/>
              </w:rPr>
              <w:t>5</w:t>
            </w:r>
            <w:r>
              <w:rPr>
                <w:rFonts w:hint="eastAsia" w:ascii="宋体" w:hAnsi="宋体" w:cs="宋体"/>
                <w:color w:val="auto"/>
                <w:sz w:val="18"/>
                <w:szCs w:val="18"/>
                <w:highlight w:val="none"/>
              </w:rPr>
              <w:t>%以上。</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shd w:val="clear" w:color="000000" w:fill="FFFFFF"/>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3.引导服务对象排队用餐,在相应的信息平台扣费后方可就餐。</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1.实地走访、查看记录</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shd w:val="clear" w:color="000000" w:fill="FFFFFF"/>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4.准确记录就餐人数，及时记录在案。</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728" w:hRule="atLeast"/>
          <w:jc w:val="center"/>
        </w:trPr>
        <w:tc>
          <w:tcPr>
            <w:tcW w:w="1227"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（五）</w:t>
            </w:r>
          </w:p>
          <w:p>
            <w:pPr>
              <w:jc w:val="center"/>
              <w:rPr>
                <w:rFonts w:ascii="宋体" w:hAnsi="宋体" w:cs="宋体"/>
                <w:color w:val="auto"/>
                <w:szCs w:val="21"/>
                <w:highlight w:val="none"/>
              </w:rPr>
            </w:pPr>
            <w:r>
              <w:rPr>
                <w:rFonts w:hint="eastAsia" w:ascii="宋体" w:hAnsi="宋体" w:cs="宋体"/>
                <w:color w:val="auto"/>
                <w:szCs w:val="21"/>
                <w:highlight w:val="none"/>
              </w:rPr>
              <w:t>发展规划（</w:t>
            </w:r>
            <w:r>
              <w:rPr>
                <w:rFonts w:ascii="宋体" w:hAnsi="宋体" w:cs="宋体"/>
                <w:color w:val="auto"/>
                <w:szCs w:val="21"/>
                <w:highlight w:val="none"/>
              </w:rPr>
              <w:t>5</w:t>
            </w:r>
            <w:r>
              <w:rPr>
                <w:rFonts w:hint="eastAsia" w:ascii="宋体" w:hAnsi="宋体" w:cs="宋体"/>
                <w:color w:val="auto"/>
                <w:szCs w:val="21"/>
                <w:highlight w:val="none"/>
              </w:rPr>
              <w:t>分）</w:t>
            </w:r>
          </w:p>
        </w:tc>
        <w:tc>
          <w:tcPr>
            <w:tcW w:w="128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5.1发展目标</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w:t>
            </w:r>
            <w:r>
              <w:rPr>
                <w:rFonts w:ascii="宋体" w:hAnsi="宋体" w:cs="宋体"/>
                <w:color w:val="auto"/>
                <w:sz w:val="18"/>
                <w:szCs w:val="18"/>
                <w:highlight w:val="none"/>
              </w:rPr>
              <w:t>2</w:t>
            </w:r>
            <w:r>
              <w:rPr>
                <w:rFonts w:hint="eastAsia" w:ascii="宋体" w:hAnsi="宋体" w:cs="宋体"/>
                <w:color w:val="auto"/>
                <w:sz w:val="18"/>
                <w:szCs w:val="18"/>
                <w:highlight w:val="none"/>
              </w:rPr>
              <w:t>分）</w:t>
            </w: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1.有清晰、明确的发展目标，包括明确的运营主体、明确的目标群体，服务内容设置等质化目标，以及服务对象数量，营业额等量化目标。</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1.文件查阅、实地走访</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　</w:t>
            </w:r>
          </w:p>
        </w:tc>
      </w:tr>
      <w:tr>
        <w:tblPrEx>
          <w:tblCellMar>
            <w:top w:w="0" w:type="dxa"/>
            <w:left w:w="108" w:type="dxa"/>
            <w:bottom w:w="0" w:type="dxa"/>
            <w:right w:w="108" w:type="dxa"/>
          </w:tblCellMar>
        </w:tblPrEx>
        <w:trPr>
          <w:trHeight w:val="548" w:hRule="atLeast"/>
          <w:jc w:val="center"/>
        </w:trPr>
        <w:tc>
          <w:tcPr>
            <w:tcW w:w="1227"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2.发展目标符合长者饭堂运营机构建设运营宗旨和文件精神。</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3.发展目标符合当地老年人服务需求。</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773" w:hRule="atLeast"/>
          <w:jc w:val="center"/>
        </w:trPr>
        <w:tc>
          <w:tcPr>
            <w:tcW w:w="1227"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Cs w:val="21"/>
                <w:highlight w:val="none"/>
              </w:rPr>
            </w:pPr>
          </w:p>
        </w:tc>
        <w:tc>
          <w:tcPr>
            <w:tcW w:w="128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5.2发展计划</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（3分）</w:t>
            </w: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1.拟定有长者饭堂发展年度计划书，计划书包括发展目标、服务需求、市场分析、现有人财物资源分析、风险控制等内容。</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1.文件查阅</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　</w:t>
            </w:r>
          </w:p>
        </w:tc>
      </w:tr>
      <w:tr>
        <w:tblPrEx>
          <w:tblCellMar>
            <w:top w:w="0" w:type="dxa"/>
            <w:left w:w="108" w:type="dxa"/>
            <w:bottom w:w="0" w:type="dxa"/>
            <w:right w:w="108" w:type="dxa"/>
          </w:tblCellMar>
        </w:tblPrEx>
        <w:trPr>
          <w:trHeight w:val="548" w:hRule="atLeast"/>
          <w:jc w:val="center"/>
        </w:trPr>
        <w:tc>
          <w:tcPr>
            <w:tcW w:w="1227"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2.结合当地实际情况，发展计划具有可行性、可操作性。</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690"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3.结合当地实际情况，发展计划具有创新性，有效利用社区周边资源，如人口优势、地区优势等。</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645" w:hRule="atLeast"/>
          <w:jc w:val="center"/>
        </w:trPr>
        <w:tc>
          <w:tcPr>
            <w:tcW w:w="12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（六）</w:t>
            </w:r>
          </w:p>
          <w:p>
            <w:pPr>
              <w:jc w:val="center"/>
              <w:rPr>
                <w:rFonts w:ascii="宋体" w:hAnsi="宋体" w:cs="宋体"/>
                <w:color w:val="auto"/>
                <w:szCs w:val="21"/>
                <w:highlight w:val="none"/>
              </w:rPr>
            </w:pPr>
            <w:r>
              <w:rPr>
                <w:rFonts w:hint="eastAsia" w:ascii="宋体" w:hAnsi="宋体" w:cs="宋体"/>
                <w:color w:val="auto"/>
                <w:szCs w:val="21"/>
                <w:highlight w:val="none"/>
              </w:rPr>
              <w:t>主管部门评价</w:t>
            </w:r>
          </w:p>
          <w:p>
            <w:pPr>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6.1业务主管部门评价</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w:t>
            </w:r>
            <w:r>
              <w:rPr>
                <w:rFonts w:ascii="宋体" w:hAnsi="宋体" w:cs="宋体"/>
                <w:color w:val="auto"/>
                <w:sz w:val="18"/>
                <w:szCs w:val="18"/>
                <w:highlight w:val="none"/>
              </w:rPr>
              <w:t>10</w:t>
            </w:r>
            <w:r>
              <w:rPr>
                <w:rFonts w:hint="eastAsia" w:ascii="宋体" w:hAnsi="宋体" w:cs="宋体"/>
                <w:color w:val="auto"/>
                <w:sz w:val="18"/>
                <w:szCs w:val="18"/>
                <w:highlight w:val="none"/>
              </w:rPr>
              <w:t>分）</w:t>
            </w:r>
          </w:p>
        </w:tc>
        <w:tc>
          <w:tcPr>
            <w:tcW w:w="4143" w:type="dxa"/>
            <w:tcBorders>
              <w:top w:val="single" w:color="auto" w:sz="4" w:space="0"/>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1.结合长者饭堂运营机构年度运营情况，给予相应评价。</w:t>
            </w:r>
          </w:p>
        </w:tc>
        <w:tc>
          <w:tcPr>
            <w:tcW w:w="1770" w:type="dxa"/>
            <w:vMerge w:val="restart"/>
            <w:tcBorders>
              <w:top w:val="single" w:color="auto" w:sz="4" w:space="0"/>
              <w:left w:val="nil"/>
              <w:right w:val="single" w:color="auto"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1.收集相关单位评价表</w:t>
            </w:r>
          </w:p>
          <w:p>
            <w:pPr>
              <w:jc w:val="left"/>
              <w:rPr>
                <w:rFonts w:ascii="宋体" w:hAnsi="宋体" w:cs="宋体"/>
                <w:color w:val="auto"/>
                <w:sz w:val="18"/>
                <w:szCs w:val="18"/>
                <w:highlight w:val="none"/>
              </w:rPr>
            </w:pPr>
            <w:r>
              <w:rPr>
                <w:rFonts w:hint="eastAsia" w:ascii="宋体" w:hAnsi="宋体" w:cs="宋体"/>
                <w:color w:val="auto"/>
                <w:sz w:val="18"/>
                <w:szCs w:val="18"/>
                <w:highlight w:val="none"/>
              </w:rPr>
              <w:t>2.查看以往评价的相关资料</w:t>
            </w:r>
          </w:p>
        </w:tc>
        <w:tc>
          <w:tcPr>
            <w:tcW w:w="899"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　</w:t>
            </w:r>
          </w:p>
        </w:tc>
      </w:tr>
      <w:tr>
        <w:tblPrEx>
          <w:tblCellMar>
            <w:top w:w="0" w:type="dxa"/>
            <w:left w:w="108" w:type="dxa"/>
            <w:bottom w:w="0" w:type="dxa"/>
            <w:right w:w="108" w:type="dxa"/>
          </w:tblCellMar>
        </w:tblPrEx>
        <w:trPr>
          <w:trHeight w:val="855"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18"/>
                <w:szCs w:val="18"/>
                <w:highlight w:val="none"/>
              </w:rPr>
            </w:pPr>
          </w:p>
        </w:tc>
        <w:tc>
          <w:tcPr>
            <w:tcW w:w="4143" w:type="dxa"/>
            <w:tcBorders>
              <w:top w:val="nil"/>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2.结合国家、省、市、区领导及相关部门视察情况，给予评价。</w:t>
            </w:r>
          </w:p>
        </w:tc>
        <w:tc>
          <w:tcPr>
            <w:tcW w:w="1770" w:type="dxa"/>
            <w:vMerge w:val="continue"/>
            <w:tcBorders>
              <w:left w:val="nil"/>
              <w:bottom w:val="single" w:color="auto" w:sz="4" w:space="0"/>
              <w:right w:val="single" w:color="auto" w:sz="4" w:space="0"/>
            </w:tcBorders>
            <w:vAlign w:val="center"/>
          </w:tcPr>
          <w:p>
            <w:pPr>
              <w:jc w:val="left"/>
              <w:rPr>
                <w:rFonts w:ascii="宋体" w:hAnsi="宋体" w:cs="宋体"/>
                <w:color w:val="auto"/>
                <w:sz w:val="18"/>
                <w:szCs w:val="18"/>
                <w:highlight w:val="none"/>
              </w:rPr>
            </w:pPr>
          </w:p>
        </w:tc>
        <w:tc>
          <w:tcPr>
            <w:tcW w:w="89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auto"/>
                <w:highlight w:val="none"/>
              </w:rPr>
            </w:pPr>
          </w:p>
        </w:tc>
      </w:tr>
      <w:tr>
        <w:tblPrEx>
          <w:tblCellMar>
            <w:top w:w="0" w:type="dxa"/>
            <w:left w:w="108" w:type="dxa"/>
            <w:bottom w:w="0" w:type="dxa"/>
            <w:right w:w="108" w:type="dxa"/>
          </w:tblCellMar>
        </w:tblPrEx>
        <w:trPr>
          <w:trHeight w:val="780" w:hRule="atLeast"/>
          <w:jc w:val="center"/>
        </w:trPr>
        <w:tc>
          <w:tcPr>
            <w:tcW w:w="1227" w:type="dxa"/>
            <w:tcBorders>
              <w:top w:val="nil"/>
              <w:left w:val="single" w:color="auto" w:sz="4" w:space="0"/>
              <w:bottom w:val="single" w:color="auto" w:sz="4" w:space="0"/>
              <w:right w:val="single" w:color="auto" w:sz="4" w:space="0"/>
            </w:tcBorders>
            <w:vAlign w:val="center"/>
          </w:tcPr>
          <w:p>
            <w:pPr>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总分</w:t>
            </w:r>
          </w:p>
          <w:p>
            <w:pPr>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（100分）</w:t>
            </w:r>
          </w:p>
        </w:tc>
        <w:tc>
          <w:tcPr>
            <w:tcW w:w="7197" w:type="dxa"/>
            <w:gridSpan w:val="3"/>
            <w:tcBorders>
              <w:top w:val="single" w:color="auto" w:sz="4" w:space="0"/>
              <w:left w:val="nil"/>
              <w:bottom w:val="single" w:color="auto"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899" w:type="dxa"/>
            <w:tcBorders>
              <w:top w:val="nil"/>
              <w:left w:val="nil"/>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　</w:t>
            </w:r>
          </w:p>
        </w:tc>
      </w:tr>
    </w:tbl>
    <w:p>
      <w:pPr>
        <w:rPr>
          <w:color w:val="auto"/>
          <w:highlight w:val="none"/>
        </w:rPr>
      </w:pP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634D3"/>
    <w:multiLevelType w:val="singleLevel"/>
    <w:tmpl w:val="5C7634D3"/>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06FF8"/>
    <w:rsid w:val="01BA7B57"/>
    <w:rsid w:val="58606FF8"/>
    <w:rsid w:val="6DD55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2021-08-05T08:24:00Z</dcterms:created>
  <dc:creator>Dream、随缘</dc:creator>
  <cp:lastModifiedBy>Dream、随缘</cp:lastModifiedBy>
  <dcterms:modified xsi:type="dcterms:W3CDTF">2021-08-05T08:25:55Z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