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640" w:firstLineChars="200"/>
        <w:jc w:val="center"/>
        <w:outlineLvl w:val="0"/>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firstLine="640" w:firstLineChars="200"/>
        <w:jc w:val="center"/>
        <w:outlineLvl w:val="0"/>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firstLine="880" w:firstLineChars="200"/>
        <w:jc w:val="center"/>
        <w:outlineLvl w:val="0"/>
        <w:rPr>
          <w:rFonts w:hint="eastAsia" w:ascii="方正小标宋简体" w:hAnsi="宋体" w:eastAsia="方正小标宋简体" w:cs="宋体"/>
          <w:sz w:val="44"/>
          <w:szCs w:val="44"/>
          <w:lang w:val="en-US"/>
        </w:rPr>
      </w:pPr>
      <w:r>
        <w:rPr>
          <w:rFonts w:hint="eastAsia" w:ascii="方正小标宋简体" w:hAnsi="宋体" w:eastAsia="方正小标宋简体" w:cs="宋体"/>
          <w:kern w:val="2"/>
          <w:sz w:val="44"/>
          <w:szCs w:val="44"/>
          <w:lang w:val="en-US" w:eastAsia="zh-CN" w:bidi="ar"/>
        </w:rPr>
        <w:t xml:space="preserve">沙头街道办事处2017年度部门决算  </w:t>
      </w:r>
    </w:p>
    <w:p>
      <w:pPr>
        <w:keepNext w:val="0"/>
        <w:keepLines w:val="0"/>
        <w:widowControl w:val="0"/>
        <w:suppressLineNumbers w:val="0"/>
        <w:spacing w:before="0" w:beforeAutospacing="0" w:after="0" w:afterAutospacing="0"/>
        <w:ind w:left="0" w:right="0" w:firstLine="643" w:firstLineChars="200"/>
        <w:jc w:val="center"/>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0" w:firstLineChars="200"/>
        <w:jc w:val="center"/>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目录</w:t>
      </w:r>
    </w:p>
    <w:p>
      <w:pPr>
        <w:keepNext w:val="0"/>
        <w:keepLines w:val="0"/>
        <w:widowControl w:val="0"/>
        <w:suppressLineNumbers w:val="0"/>
        <w:spacing w:before="0" w:beforeAutospacing="0" w:after="0" w:afterAutospacing="0"/>
        <w:ind w:left="0" w:right="0" w:firstLine="627" w:firstLineChars="196"/>
        <w:jc w:val="both"/>
        <w:rPr>
          <w:rFonts w:hint="eastAsia" w:ascii="黑体" w:hAnsi="宋体" w:eastAsia="黑体" w:cs="黑体"/>
          <w:sz w:val="32"/>
          <w:szCs w:val="32"/>
          <w:lang w:val="en-US"/>
        </w:rPr>
      </w:pPr>
      <w:r>
        <w:rPr>
          <w:rFonts w:hint="eastAsia" w:ascii="黑体" w:hAnsi="宋体" w:eastAsia="黑体" w:cs="宋体"/>
          <w:kern w:val="2"/>
          <w:sz w:val="32"/>
          <w:szCs w:val="32"/>
          <w:lang w:val="en-US" w:eastAsia="zh-CN" w:bidi="ar"/>
        </w:rPr>
        <w:t>一、</w:t>
      </w:r>
      <w:r>
        <w:rPr>
          <w:rFonts w:hint="eastAsia" w:ascii="黑体" w:hAnsi="宋体" w:eastAsia="黑体" w:cs="黑体"/>
          <w:kern w:val="2"/>
          <w:sz w:val="32"/>
          <w:szCs w:val="32"/>
          <w:lang w:val="en-US" w:eastAsia="zh-CN" w:bidi="ar"/>
        </w:rPr>
        <w:t>沙头街道办事处概况</w:t>
      </w:r>
    </w:p>
    <w:p>
      <w:pPr>
        <w:keepNext w:val="0"/>
        <w:keepLines w:val="0"/>
        <w:widowControl w:val="0"/>
        <w:suppressLineNumbers w:val="0"/>
        <w:spacing w:before="0" w:beforeAutospacing="0" w:after="0" w:afterAutospacing="0"/>
        <w:ind w:left="0" w:right="0"/>
        <w:jc w:val="both"/>
        <w:rPr>
          <w:rFonts w:hint="eastAsia" w:ascii="楷体_GB2312" w:hAnsi="宋体" w:eastAsia="楷体_GB2312" w:cs="宋体"/>
          <w:b/>
          <w:bCs w:val="0"/>
          <w:sz w:val="32"/>
          <w:szCs w:val="32"/>
          <w:lang w:val="en-US"/>
        </w:rPr>
      </w:pPr>
      <w:r>
        <w:rPr>
          <w:rFonts w:hint="eastAsia" w:ascii="仿宋_GB2312" w:hAnsi="宋体" w:eastAsia="仿宋_GB2312" w:cs="宋体"/>
          <w:b/>
          <w:bCs w:val="0"/>
          <w:kern w:val="2"/>
          <w:sz w:val="32"/>
          <w:szCs w:val="32"/>
          <w:lang w:val="en-US" w:eastAsia="zh-CN" w:bidi="ar"/>
        </w:rPr>
        <w:t xml:space="preserve">      </w:t>
      </w:r>
      <w:r>
        <w:rPr>
          <w:rFonts w:hint="eastAsia" w:ascii="楷体_GB2312" w:hAnsi="宋体" w:eastAsia="楷体_GB2312" w:cs="宋体"/>
          <w:b/>
          <w:bCs w:val="0"/>
          <w:kern w:val="2"/>
          <w:sz w:val="32"/>
          <w:szCs w:val="32"/>
          <w:lang w:val="en-US" w:eastAsia="zh-CN" w:bidi="ar"/>
        </w:rPr>
        <w:t>（一）部门职责</w:t>
      </w:r>
    </w:p>
    <w:p>
      <w:pPr>
        <w:keepNext w:val="0"/>
        <w:keepLines w:val="0"/>
        <w:widowControl w:val="0"/>
        <w:suppressLineNumbers w:val="0"/>
        <w:spacing w:before="0" w:beforeAutospacing="0" w:after="0" w:afterAutospacing="0"/>
        <w:ind w:left="0" w:right="0"/>
        <w:jc w:val="both"/>
        <w:rPr>
          <w:rFonts w:hint="eastAsia" w:ascii="楷体_GB2312" w:hAnsi="宋体" w:eastAsia="楷体_GB2312" w:cs="宋体"/>
          <w:b/>
          <w:bCs w:val="0"/>
          <w:sz w:val="32"/>
          <w:szCs w:val="32"/>
          <w:lang w:val="en-US"/>
        </w:rPr>
      </w:pPr>
      <w:r>
        <w:rPr>
          <w:rFonts w:hint="eastAsia" w:ascii="楷体_GB2312" w:hAnsi="宋体" w:eastAsia="楷体_GB2312" w:cs="宋体"/>
          <w:b/>
          <w:bCs w:val="0"/>
          <w:kern w:val="2"/>
          <w:sz w:val="32"/>
          <w:szCs w:val="32"/>
          <w:lang w:val="en-US" w:eastAsia="zh-CN" w:bidi="ar"/>
        </w:rPr>
        <w:t xml:space="preserve">      （二）机构设置</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二、</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2017年度部门决算表</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三、</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2017年度部门决算情况说明</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四、名词解释</w:t>
      </w: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一、</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概况</w:t>
      </w:r>
    </w:p>
    <w:p>
      <w:pPr>
        <w:keepNext w:val="0"/>
        <w:keepLines w:val="0"/>
        <w:widowControl w:val="0"/>
        <w:suppressLineNumbers w:val="0"/>
        <w:spacing w:before="0" w:beforeAutospacing="0" w:after="0" w:afterAutospacing="0"/>
        <w:ind w:left="0" w:right="0"/>
        <w:jc w:val="both"/>
        <w:outlineLvl w:val="0"/>
        <w:rPr>
          <w:rFonts w:hint="eastAsia" w:ascii="楷体_GB2312" w:hAnsi="宋体" w:eastAsia="楷体_GB2312" w:cs="宋体"/>
          <w:b/>
          <w:bCs w:val="0"/>
          <w:sz w:val="32"/>
          <w:szCs w:val="32"/>
          <w:lang w:val="en-US"/>
        </w:rPr>
      </w:pPr>
      <w:r>
        <w:rPr>
          <w:rFonts w:hint="eastAsia" w:ascii="仿宋_GB2312" w:hAnsi="宋体" w:eastAsia="仿宋_GB2312" w:cs="宋体"/>
          <w:b/>
          <w:bCs w:val="0"/>
          <w:kern w:val="2"/>
          <w:sz w:val="32"/>
          <w:szCs w:val="32"/>
          <w:lang w:val="en-US" w:eastAsia="zh-CN" w:bidi="ar"/>
        </w:rPr>
        <w:t xml:space="preserve">    </w:t>
      </w:r>
      <w:r>
        <w:rPr>
          <w:rFonts w:hint="eastAsia" w:ascii="楷体_GB2312" w:hAnsi="宋体" w:eastAsia="楷体_GB2312" w:cs="宋体"/>
          <w:b/>
          <w:bCs w:val="0"/>
          <w:kern w:val="2"/>
          <w:sz w:val="32"/>
          <w:szCs w:val="32"/>
          <w:lang w:val="en-US" w:eastAsia="zh-CN" w:bidi="ar"/>
        </w:rPr>
        <w:t>（一）部门职责</w:t>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32"/>
          <w:szCs w:val="32"/>
          <w:lang w:val="en-US"/>
        </w:rPr>
      </w:pPr>
      <w:r>
        <w:rPr>
          <w:rFonts w:hint="default" w:ascii="Times New Roman" w:hAnsi="Times New Roman" w:eastAsia="宋体" w:cs="Times New Roman"/>
          <w:kern w:val="2"/>
          <w:sz w:val="21"/>
          <w:szCs w:val="20"/>
          <w:lang w:val="en-US" w:eastAsia="zh-CN" w:bidi="ar"/>
        </w:rPr>
        <w:t xml:space="preserve">    </w:t>
      </w:r>
      <w:r>
        <w:rPr>
          <w:rFonts w:hint="eastAsia" w:ascii="仿宋_GB2312" w:hAnsi="Times New Roman" w:eastAsia="仿宋_GB2312" w:cs="仿宋_GB2312"/>
          <w:kern w:val="2"/>
          <w:sz w:val="21"/>
          <w:szCs w:val="20"/>
          <w:lang w:val="en-US" w:eastAsia="zh-CN" w:bidi="ar"/>
        </w:rPr>
        <w:t xml:space="preserve"> </w:t>
      </w:r>
      <w:r>
        <w:rPr>
          <w:rFonts w:hint="eastAsia" w:ascii="仿宋_GB2312" w:hAnsi="仿宋" w:eastAsia="仿宋_GB2312" w:cs="仿宋_GB2312"/>
          <w:kern w:val="2"/>
          <w:sz w:val="32"/>
          <w:szCs w:val="32"/>
          <w:lang w:val="en-US" w:eastAsia="zh-CN" w:bidi="ar"/>
        </w:rPr>
        <w:t>作为区人民政府的派出机关，受区人民政府领导，行使区人民政府赋予的职权，街道有以下主要职能：</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1.贯彻执行上级人民政府的决定、命令和政策，结合本街道实际，制订发展规划、工作计划和措施，并组织实施。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2.负责辖区的城市管理工作，加强辖区园林绿化、市容环境、森林防火和爱国卫生运动，协助有关部门做好辖区环保、“三防”、排洪、排污、抢险救灾等其他工作。</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3.负责辖区的社会管理工作，加强社会治安综合治理、维护社会稳定，做好辖区人口计划生育、司法、信访和出租屋管理等工作。</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4.负责辖区党的建设、纪律教育、宣传教育、外事统战及街道机关组织人事等工作。负责加强辖区基层组织建设，指导和支持社区居委会开展自我管理，反映居民的意见和建议。</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5.负责辖区的公共服务工作，加强政务服务管理，做好辖区社会事务、劳动就业、残疾人等社区服务工作。</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6.负责辖区的精神文明建设，发展社区群众性科技、教育、文化、体育、卫生事业。</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7.组织开展辖区的安全生产宣传、监管、执法工作。</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8.组织开展辖区的城市综合管理行政执法、规划土地监察工作。</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9.参与新建、改建居住区的公共建筑、市政设施配套项目的验收工作，协助开展城中村（旧村）改造，协助对公共建筑、市政配套措施的使用进行监督管理。</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10.优化营商环境，做好为企业服务及统计工作，规范、监管集体经济企业，促进辖区经济发展。</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11.完成区委、区政府交办的其他工作。</w:t>
      </w:r>
    </w:p>
    <w:p>
      <w:pPr>
        <w:keepNext w:val="0"/>
        <w:keepLines w:val="0"/>
        <w:widowControl w:val="0"/>
        <w:suppressLineNumbers w:val="0"/>
        <w:spacing w:before="0" w:beforeAutospacing="0" w:after="0" w:afterAutospacing="0"/>
        <w:ind w:left="0" w:right="0" w:firstLine="630" w:firstLineChars="196"/>
        <w:jc w:val="both"/>
        <w:outlineLvl w:val="0"/>
        <w:rPr>
          <w:rFonts w:hint="eastAsia" w:ascii="楷体_GB2312" w:hAnsi="宋体" w:eastAsia="楷体_GB2312" w:cs="宋体"/>
          <w:b/>
          <w:bCs w:val="0"/>
          <w:sz w:val="32"/>
          <w:szCs w:val="32"/>
          <w:lang w:val="en-US"/>
        </w:rPr>
      </w:pPr>
      <w:r>
        <w:rPr>
          <w:rFonts w:hint="eastAsia" w:ascii="楷体_GB2312" w:hAnsi="宋体" w:eastAsia="楷体_GB2312" w:cs="宋体"/>
          <w:b/>
          <w:bCs w:val="0"/>
          <w:kern w:val="2"/>
          <w:sz w:val="32"/>
          <w:szCs w:val="32"/>
          <w:lang w:val="en-US" w:eastAsia="zh-CN" w:bidi="ar"/>
        </w:rPr>
        <w:t>（二）机构设置</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单位内设7个行政类机构：党工委（办事处）办公室、基层党建办公室、政务服务办公室、社会管理办公室、公共安全办公室（加挂区安全生产执法监察大队沙头街道中队牌子）、社区法治办公室（司法所、社会治安综合治理办公室与其合署办公）、区城市综合管理行政执法局沙头街道执法队（加挂区规划土地监察大队沙头街道中队牌子）。设街道公共服务中心、街道网格信息管理中心（加挂出租屋综合管理所牌子）两个下属事业单位。</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单位下辖12个社区工作站：分别为上沙社区工作站、下沙社区工作站、沙咀社区工作站、沙尾社区工作站、新洲社区工作站、新沙社区工作站、新华社区工作站、金地社区工作站、金城社区工作站、金碧社区工作站、天安社区工作站、翠湾社区工作站。</w:t>
      </w: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二、</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2017年度部门决算表</w:t>
      </w:r>
    </w:p>
    <w:tbl>
      <w:tblPr>
        <w:tblStyle w:val="6"/>
        <w:tblW w:w="9668" w:type="dxa"/>
        <w:jc w:val="center"/>
        <w:shd w:val="clear" w:color="auto" w:fill="auto"/>
        <w:tblLayout w:type="fixed"/>
        <w:tblCellMar>
          <w:top w:w="0" w:type="dxa"/>
          <w:left w:w="108" w:type="dxa"/>
          <w:bottom w:w="0" w:type="dxa"/>
          <w:right w:w="108" w:type="dxa"/>
        </w:tblCellMar>
      </w:tblPr>
      <w:tblGrid>
        <w:gridCol w:w="3033"/>
        <w:gridCol w:w="607"/>
        <w:gridCol w:w="1092"/>
        <w:gridCol w:w="3032"/>
        <w:gridCol w:w="606"/>
        <w:gridCol w:w="1100"/>
        <w:gridCol w:w="198"/>
      </w:tblGrid>
      <w:tr>
        <w:tblPrEx>
          <w:shd w:val="clear" w:color="auto" w:fill="auto"/>
          <w:tblCellMar>
            <w:top w:w="0" w:type="dxa"/>
            <w:left w:w="108" w:type="dxa"/>
            <w:bottom w:w="0" w:type="dxa"/>
            <w:right w:w="108" w:type="dxa"/>
          </w:tblCellMar>
        </w:tblPrEx>
        <w:trPr>
          <w:trHeight w:val="360" w:hRule="atLeast"/>
          <w:jc w:val="center"/>
        </w:trPr>
        <w:tc>
          <w:tcPr>
            <w:tcW w:w="9470" w:type="dxa"/>
            <w:gridSpan w:val="6"/>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308" w:leftChars="124" w:right="1443" w:rightChars="687" w:hanging="48" w:hangingChars="15"/>
              <w:jc w:val="center"/>
              <w:rPr>
                <w:rFonts w:hint="eastAsia" w:ascii="华文中宋" w:hAnsi="华文中宋" w:eastAsia="华文中宋" w:cs="宋体"/>
                <w:color w:val="000000"/>
                <w:sz w:val="32"/>
                <w:szCs w:val="32"/>
                <w:lang w:val="en-US"/>
              </w:rPr>
            </w:pPr>
            <w:r>
              <w:rPr>
                <w:rFonts w:hint="eastAsia" w:ascii="华文中宋" w:hAnsi="华文中宋" w:eastAsia="华文中宋" w:cs="华文中宋"/>
                <w:color w:val="000000"/>
                <w:kern w:val="2"/>
                <w:sz w:val="32"/>
                <w:szCs w:val="32"/>
                <w:lang w:val="en-US" w:eastAsia="zh-CN" w:bidi="ar"/>
              </w:rPr>
              <w:t>收入支出决算总表</w:t>
            </w:r>
          </w:p>
        </w:tc>
        <w:tc>
          <w:tcPr>
            <w:tcW w:w="198"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199" w:hRule="atLeast"/>
          <w:jc w:val="center"/>
        </w:trPr>
        <w:tc>
          <w:tcPr>
            <w:tcW w:w="3033"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607"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092"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032"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60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00"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01</w:t>
            </w:r>
            <w:r>
              <w:rPr>
                <w:rFonts w:hint="eastAsia" w:ascii="Times New Roman" w:hAnsi="Times New Roman" w:eastAsia="宋体" w:cs="宋体"/>
                <w:color w:val="000000"/>
                <w:kern w:val="2"/>
                <w:sz w:val="20"/>
                <w:szCs w:val="20"/>
                <w:lang w:val="en-US" w:eastAsia="zh-CN" w:bidi="ar"/>
              </w:rPr>
              <w:t>表</w:t>
            </w:r>
          </w:p>
        </w:tc>
        <w:tc>
          <w:tcPr>
            <w:tcW w:w="198"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00" w:hRule="atLeast"/>
          <w:jc w:val="center"/>
        </w:trPr>
        <w:tc>
          <w:tcPr>
            <w:tcW w:w="4732" w:type="dxa"/>
            <w:gridSpan w:val="3"/>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 xml:space="preserve">     </w:t>
            </w:r>
          </w:p>
        </w:tc>
        <w:tc>
          <w:tcPr>
            <w:tcW w:w="3032" w:type="dxa"/>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706" w:type="dxa"/>
            <w:gridSpan w:val="2"/>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color w:val="000000"/>
                <w:kern w:val="2"/>
                <w:sz w:val="20"/>
                <w:szCs w:val="20"/>
                <w:lang w:val="en-US" w:eastAsia="zh-CN" w:bidi="ar"/>
              </w:rPr>
              <w:t>单位：万元</w:t>
            </w:r>
          </w:p>
        </w:tc>
        <w:tc>
          <w:tcPr>
            <w:tcW w:w="198"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439" w:hRule="atLeast"/>
          <w:jc w:val="center"/>
        </w:trPr>
        <w:tc>
          <w:tcPr>
            <w:tcW w:w="4732"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收入</w:t>
            </w:r>
          </w:p>
        </w:tc>
        <w:tc>
          <w:tcPr>
            <w:tcW w:w="4738"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支出</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439"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行次</w:t>
            </w:r>
          </w:p>
        </w:tc>
        <w:tc>
          <w:tcPr>
            <w:tcW w:w="109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决算数</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行次</w:t>
            </w:r>
          </w:p>
        </w:tc>
        <w:tc>
          <w:tcPr>
            <w:tcW w:w="110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决算数</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09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一、财政拨款收入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26,925.91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一、一般公共服务支出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其中：政府性基金预算财政拨款</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647.66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二、外交支出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二、上级补助收入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三、国防支出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三、事业收入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四、公共安全支出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四、经营收入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五、教育支出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1.90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五、附属单位上缴收入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六、科学技术支出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六、其他收入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4.02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七、文化体育与传媒支出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108.97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八、社会保障和就业支出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2,461.77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九、医疗卫生与计划生育支出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160.92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十、节能环保支出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39</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十一、城乡社区支出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22,818.04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十二、农林水支出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十三、交通运输支出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十四、资源勘探信息等支出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655.06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十五、商业服务业等支出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十六、金融支出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十七、援助其他地区支出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十八、国土海洋气象等支出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十九、住房保障支出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20</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二十、粮油物资储备支出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49</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二十一、其他支出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647.66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本年收入合计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26,929.92 </w:t>
            </w:r>
          </w:p>
        </w:tc>
        <w:tc>
          <w:tcPr>
            <w:tcW w:w="303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本年支出合计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26,854.32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用事业基金弥补收支差额</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结余分配</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年初结转和结余</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828.44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其中：提取职工福利基金</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其中：项目支出结转和结余</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142.53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转入事业基金</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年末结转和结余</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904.04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其中：项目支出结转和结余</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171.17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总计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 xml:space="preserve">27,758.36 </w:t>
            </w:r>
          </w:p>
        </w:tc>
        <w:tc>
          <w:tcPr>
            <w:tcW w:w="303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总计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 xml:space="preserve">27,758.36 </w:t>
            </w:r>
          </w:p>
        </w:tc>
        <w:tc>
          <w:tcPr>
            <w:tcW w:w="198" w:type="dxa"/>
            <w:tcBorders>
              <w:lef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439" w:hRule="atLeast"/>
          <w:jc w:val="center"/>
        </w:trPr>
        <w:tc>
          <w:tcPr>
            <w:tcW w:w="9470" w:type="dxa"/>
            <w:gridSpan w:val="6"/>
            <w:tcBorders>
              <w:top w:val="single" w:color="auto" w:sz="6" w:space="0"/>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sz w:val="20"/>
                <w:szCs w:val="20"/>
                <w:lang w:val="en-US"/>
              </w:rPr>
            </w:pPr>
            <w:r>
              <w:rPr>
                <w:rFonts w:hint="eastAsia" w:ascii="Times New Roman" w:hAnsi="Times New Roman" w:eastAsia="宋体" w:cs="宋体"/>
                <w:kern w:val="2"/>
                <w:sz w:val="20"/>
                <w:szCs w:val="20"/>
                <w:lang w:val="en-US" w:eastAsia="zh-CN" w:bidi="ar"/>
              </w:rPr>
              <w:t>注：本表反映部门本年度的总收支和年末结转结余情况。</w:t>
            </w:r>
          </w:p>
        </w:tc>
        <w:tc>
          <w:tcPr>
            <w:tcW w:w="198" w:type="dxa"/>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rPr>
          <w:rFonts w:hint="eastAsia" w:ascii="仿宋_GB2312" w:hAnsi="Times New Roman" w:eastAsia="仿宋_GB2312" w:cs="Times New Roman"/>
          <w:kern w:val="2"/>
          <w:sz w:val="32"/>
          <w:szCs w:val="32"/>
          <w:lang w:val="en-US" w:eastAsia="zh-CN" w:bidi="ar"/>
        </w:rPr>
        <w:sectPr>
          <w:footerReference r:id="rId3" w:type="default"/>
          <w:pgSz w:w="11906" w:h="16838"/>
          <w:pgMar w:top="1440" w:right="1800" w:bottom="1440" w:left="1800" w:header="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6"/>
        <w:tblW w:w="13982" w:type="dxa"/>
        <w:jc w:val="center"/>
        <w:shd w:val="clear" w:color="auto" w:fill="auto"/>
        <w:tblLayout w:type="fixed"/>
        <w:tblCellMar>
          <w:top w:w="0" w:type="dxa"/>
          <w:left w:w="108" w:type="dxa"/>
          <w:bottom w:w="0" w:type="dxa"/>
          <w:right w:w="108" w:type="dxa"/>
        </w:tblCellMar>
      </w:tblPr>
      <w:tblGrid>
        <w:gridCol w:w="30"/>
        <w:gridCol w:w="895"/>
        <w:gridCol w:w="104"/>
        <w:gridCol w:w="2052"/>
        <w:gridCol w:w="532"/>
        <w:gridCol w:w="83"/>
        <w:gridCol w:w="814"/>
        <w:gridCol w:w="29"/>
        <w:gridCol w:w="37"/>
        <w:gridCol w:w="387"/>
        <w:gridCol w:w="146"/>
        <w:gridCol w:w="283"/>
        <w:gridCol w:w="465"/>
        <w:gridCol w:w="29"/>
        <w:gridCol w:w="70"/>
        <w:gridCol w:w="1250"/>
        <w:gridCol w:w="29"/>
        <w:gridCol w:w="26"/>
        <w:gridCol w:w="1294"/>
        <w:gridCol w:w="29"/>
        <w:gridCol w:w="72"/>
        <w:gridCol w:w="552"/>
        <w:gridCol w:w="696"/>
        <w:gridCol w:w="29"/>
        <w:gridCol w:w="29"/>
        <w:gridCol w:w="44"/>
        <w:gridCol w:w="899"/>
        <w:gridCol w:w="348"/>
        <w:gridCol w:w="29"/>
        <w:gridCol w:w="29"/>
        <w:gridCol w:w="16"/>
        <w:gridCol w:w="1132"/>
        <w:gridCol w:w="142"/>
        <w:gridCol w:w="29"/>
        <w:gridCol w:w="29"/>
        <w:gridCol w:w="18"/>
        <w:gridCol w:w="1305"/>
      </w:tblGrid>
      <w:tr>
        <w:tblPrEx>
          <w:tblCellMar>
            <w:top w:w="0" w:type="dxa"/>
            <w:left w:w="108" w:type="dxa"/>
            <w:bottom w:w="0" w:type="dxa"/>
            <w:right w:w="108" w:type="dxa"/>
          </w:tblCellMar>
        </w:tblPrEx>
        <w:trPr>
          <w:trHeight w:val="329" w:hRule="atLeast"/>
          <w:jc w:val="center"/>
        </w:trPr>
        <w:tc>
          <w:tcPr>
            <w:tcW w:w="13982" w:type="dxa"/>
            <w:gridSpan w:val="37"/>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color w:val="000000"/>
                <w:sz w:val="32"/>
                <w:szCs w:val="32"/>
                <w:lang w:val="en-US"/>
              </w:rPr>
            </w:pPr>
            <w:r>
              <w:rPr>
                <w:rFonts w:hint="eastAsia" w:ascii="华文中宋" w:hAnsi="华文中宋" w:eastAsia="华文中宋" w:cs="华文中宋"/>
                <w:color w:val="000000"/>
                <w:kern w:val="2"/>
                <w:sz w:val="32"/>
                <w:szCs w:val="32"/>
                <w:lang w:val="en-US" w:eastAsia="zh-CN" w:bidi="ar"/>
              </w:rPr>
              <w:t>收入决算表</w:t>
            </w:r>
          </w:p>
        </w:tc>
      </w:tr>
      <w:tr>
        <w:tblPrEx>
          <w:tblCellMar>
            <w:top w:w="0" w:type="dxa"/>
            <w:left w:w="108" w:type="dxa"/>
            <w:bottom w:w="0" w:type="dxa"/>
            <w:right w:w="108" w:type="dxa"/>
          </w:tblCellMar>
        </w:tblPrEx>
        <w:trPr>
          <w:trHeight w:val="329" w:hRule="atLeast"/>
          <w:jc w:val="center"/>
        </w:trPr>
        <w:tc>
          <w:tcPr>
            <w:tcW w:w="925"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585"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7" w:type="dxa"/>
            <w:gridSpan w:val="6"/>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78"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0" w:type="dxa"/>
            <w:gridSpan w:val="4"/>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81" w:type="dxa"/>
            <w:gridSpan w:val="4"/>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02</w:t>
            </w:r>
            <w:r>
              <w:rPr>
                <w:rFonts w:hint="eastAsia" w:ascii="Times New Roman" w:hAnsi="Times New Roman" w:eastAsia="宋体" w:cs="宋体"/>
                <w:color w:val="000000"/>
                <w:kern w:val="2"/>
                <w:sz w:val="20"/>
                <w:szCs w:val="20"/>
                <w:lang w:val="en-US" w:eastAsia="zh-CN" w:bidi="ar"/>
              </w:rPr>
              <w:t>表</w:t>
            </w:r>
          </w:p>
        </w:tc>
      </w:tr>
      <w:tr>
        <w:tblPrEx>
          <w:shd w:val="clear" w:color="auto" w:fill="auto"/>
          <w:tblCellMar>
            <w:top w:w="0" w:type="dxa"/>
            <w:left w:w="108" w:type="dxa"/>
            <w:bottom w:w="0" w:type="dxa"/>
            <w:right w:w="108" w:type="dxa"/>
          </w:tblCellMar>
        </w:tblPrEx>
        <w:trPr>
          <w:trHeight w:val="329" w:hRule="atLeast"/>
          <w:jc w:val="center"/>
        </w:trPr>
        <w:tc>
          <w:tcPr>
            <w:tcW w:w="13982" w:type="dxa"/>
            <w:gridSpan w:val="37"/>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r>
              <w:rPr>
                <w:rFonts w:hint="default" w:ascii="Times New Roman" w:hAnsi="Times New Roman" w:eastAsia="宋体" w:cs="Times New Roman"/>
                <w:color w:val="000000"/>
                <w:kern w:val="2"/>
                <w:sz w:val="20"/>
                <w:szCs w:val="20"/>
                <w:lang w:val="en-US" w:eastAsia="zh-CN" w:bidi="ar"/>
              </w:rPr>
              <w:t xml:space="preserve">                          </w:t>
            </w:r>
          </w:p>
        </w:tc>
      </w:tr>
      <w:tr>
        <w:tblPrEx>
          <w:tblCellMar>
            <w:top w:w="0" w:type="dxa"/>
            <w:left w:w="108" w:type="dxa"/>
            <w:bottom w:w="0" w:type="dxa"/>
            <w:right w:w="108" w:type="dxa"/>
          </w:tblCellMar>
        </w:tblPrEx>
        <w:trPr>
          <w:trHeight w:val="329" w:hRule="atLeast"/>
          <w:jc w:val="center"/>
        </w:trPr>
        <w:tc>
          <w:tcPr>
            <w:tcW w:w="4576" w:type="dxa"/>
            <w:gridSpan w:val="9"/>
            <w:tcBorders>
              <w:top w:val="single" w:color="auto" w:sz="6"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1380" w:type="dxa"/>
            <w:gridSpan w:val="6"/>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本年收入合计</w:t>
            </w:r>
          </w:p>
        </w:tc>
        <w:tc>
          <w:tcPr>
            <w:tcW w:w="1305" w:type="dxa"/>
            <w:gridSpan w:val="3"/>
            <w:vMerge w:val="restart"/>
            <w:tcBorders>
              <w:top w:val="single" w:color="auto" w:sz="6"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财政拨款收入</w:t>
            </w:r>
          </w:p>
        </w:tc>
        <w:tc>
          <w:tcPr>
            <w:tcW w:w="1395" w:type="dxa"/>
            <w:gridSpan w:val="3"/>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上级补助收入</w:t>
            </w:r>
          </w:p>
        </w:tc>
        <w:tc>
          <w:tcPr>
            <w:tcW w:w="1350"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事业收入</w:t>
            </w:r>
          </w:p>
        </w:tc>
        <w:tc>
          <w:tcPr>
            <w:tcW w:w="1321"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经营收入</w:t>
            </w:r>
          </w:p>
        </w:tc>
        <w:tc>
          <w:tcPr>
            <w:tcW w:w="1350"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附属单位上缴收入</w:t>
            </w:r>
          </w:p>
        </w:tc>
        <w:tc>
          <w:tcPr>
            <w:tcW w:w="1305" w:type="dxa"/>
            <w:vMerge w:val="restart"/>
            <w:tcBorders>
              <w:top w:val="single" w:color="auto" w:sz="6"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其他收入</w:t>
            </w:r>
          </w:p>
        </w:tc>
      </w:tr>
      <w:tr>
        <w:tblPrEx>
          <w:tblCellMar>
            <w:top w:w="0" w:type="dxa"/>
            <w:left w:w="108" w:type="dxa"/>
            <w:bottom w:w="0" w:type="dxa"/>
            <w:right w:w="108" w:type="dxa"/>
          </w:tblCellMar>
        </w:tblPrEx>
        <w:trPr>
          <w:trHeight w:val="329" w:hRule="atLeast"/>
          <w:jc w:val="center"/>
        </w:trPr>
        <w:tc>
          <w:tcPr>
            <w:tcW w:w="925" w:type="dxa"/>
            <w:gridSpan w:val="2"/>
            <w:vMerge w:val="restart"/>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3651" w:type="dxa"/>
            <w:gridSpan w:val="7"/>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1380" w:type="dxa"/>
            <w:gridSpan w:val="6"/>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5"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29" w:hRule="atLeast"/>
          <w:jc w:val="center"/>
        </w:trPr>
        <w:tc>
          <w:tcPr>
            <w:tcW w:w="925" w:type="dxa"/>
            <w:gridSpan w:val="2"/>
            <w:vMerge w:val="continue"/>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1" w:type="dxa"/>
            <w:gridSpan w:val="7"/>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gridSpan w:val="6"/>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5"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29" w:hRule="atLeast"/>
          <w:jc w:val="center"/>
        </w:trPr>
        <w:tc>
          <w:tcPr>
            <w:tcW w:w="4576" w:type="dxa"/>
            <w:gridSpan w:val="9"/>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1380"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0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321"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c>
          <w:tcPr>
            <w:tcW w:w="1305" w:type="dxa"/>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7</w:t>
            </w:r>
          </w:p>
        </w:tc>
      </w:tr>
      <w:tr>
        <w:tblPrEx>
          <w:shd w:val="clear" w:color="auto" w:fill="auto"/>
          <w:tblCellMar>
            <w:top w:w="0" w:type="dxa"/>
            <w:left w:w="108" w:type="dxa"/>
            <w:bottom w:w="0" w:type="dxa"/>
            <w:right w:w="108" w:type="dxa"/>
          </w:tblCellMar>
        </w:tblPrEx>
        <w:trPr>
          <w:trHeight w:val="329" w:hRule="atLeast"/>
          <w:jc w:val="center"/>
        </w:trPr>
        <w:tc>
          <w:tcPr>
            <w:tcW w:w="4576" w:type="dxa"/>
            <w:gridSpan w:val="9"/>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380"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26,929.92</w:t>
            </w:r>
          </w:p>
        </w:tc>
        <w:tc>
          <w:tcPr>
            <w:tcW w:w="130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26,925.91</w:t>
            </w:r>
          </w:p>
        </w:tc>
        <w:tc>
          <w:tcPr>
            <w:tcW w:w="139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b/>
                <w:bCs w:val="0"/>
                <w:kern w:val="2"/>
                <w:sz w:val="22"/>
                <w:szCs w:val="22"/>
                <w:lang w:val="en-US" w:eastAsia="zh-CN" w:bidi="ar"/>
              </w:rPr>
              <w:t>4.02</w:t>
            </w:r>
          </w:p>
        </w:tc>
      </w:tr>
      <w:tr>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教育费附加安排的支出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其他教育费附加安排的支出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2070104</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图书馆</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社会保障和就业支出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2,491.58</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2,491.58</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行政事业单位离退休</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2080501</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归口管理的行政单位离退休</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就业补助</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其他就业补助支出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w:t>
            </w:r>
          </w:p>
        </w:tc>
        <w:tc>
          <w:tcPr>
            <w:tcW w:w="3651" w:type="dxa"/>
            <w:gridSpan w:val="7"/>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社会福利</w:t>
            </w:r>
          </w:p>
        </w:tc>
        <w:tc>
          <w:tcPr>
            <w:tcW w:w="1380" w:type="dxa"/>
            <w:gridSpan w:val="6"/>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70.30</w:t>
            </w:r>
          </w:p>
        </w:tc>
        <w:tc>
          <w:tcPr>
            <w:tcW w:w="1305"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70.30</w:t>
            </w:r>
          </w:p>
        </w:tc>
        <w:tc>
          <w:tcPr>
            <w:tcW w:w="1395"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117"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其他社会福利支出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70.30</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70.30</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23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其他社会保障和就业支出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1,316.53</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1,316.53</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29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其他社会保障和就业支出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1,316.53</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1,316.53</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医疗卫生与计划生育支出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134"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计划生育事务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其他计划生育事务支出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22,863.83</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22,859.81</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4.02</w:t>
            </w:r>
          </w:p>
        </w:tc>
      </w:tr>
      <w:tr>
        <w:tblPrEx>
          <w:tblCellMar>
            <w:top w:w="0" w:type="dxa"/>
            <w:left w:w="108" w:type="dxa"/>
            <w:bottom w:w="0" w:type="dxa"/>
            <w:right w:w="108" w:type="dxa"/>
          </w:tblCellMar>
        </w:tblPrEx>
        <w:trPr>
          <w:trHeight w:val="26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城乡社区管理事务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16,161.47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16,157.45</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4.02</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行政运行</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4,693.01</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4,693.01</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一般行政管理事务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7,449.35</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7,445.33</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4.02</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其他城乡社区管理事务支出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4,019.12</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4,019.12</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城乡社区公共设施</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2120303</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小城镇基础设施建设</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其他城乡社区公共设施支出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164"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城乡社区环境卫生</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102"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城乡社区环境卫生</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17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资源勘探信息等支出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安全生产监管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其他安全生产监管支出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3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彩票公益金及对应专项债务收入安排的支出</w:t>
            </w:r>
            <w:r>
              <w:rPr>
                <w:rFonts w:hint="eastAsia" w:ascii="Times New Roman" w:hAnsi="Times New Roman" w:eastAsia="宋体" w:cs="宋体"/>
                <w:vanish/>
                <w:color w:val="000000"/>
                <w:kern w:val="2"/>
                <w:sz w:val="22"/>
                <w:szCs w:val="22"/>
                <w:lang w:val="en-US" w:eastAsia="zh-CN" w:bidi="ar"/>
              </w:rPr>
              <w:t>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2296002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用于社会福利的彩票公益金支出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329" w:hRule="atLeast"/>
          <w:jc w:val="center"/>
        </w:trPr>
        <w:tc>
          <w:tcPr>
            <w:tcW w:w="13982" w:type="dxa"/>
            <w:gridSpan w:val="37"/>
            <w:tcBorders>
              <w:top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sz w:val="18"/>
                <w:szCs w:val="18"/>
                <w:lang w:val="en-US"/>
              </w:rPr>
            </w:pPr>
            <w:r>
              <w:rPr>
                <w:rFonts w:hint="eastAsia" w:ascii="Times New Roman" w:hAnsi="Times New Roman" w:eastAsia="宋体" w:cs="宋体"/>
                <w:kern w:val="2"/>
                <w:sz w:val="18"/>
                <w:szCs w:val="18"/>
                <w:lang w:val="en-US" w:eastAsia="zh-CN" w:bidi="ar"/>
              </w:rPr>
              <w:t>注：本表反映部门本年度取得的各项收入情况。</w:t>
            </w:r>
          </w:p>
        </w:tc>
      </w:tr>
      <w:tr>
        <w:tblPrEx>
          <w:tblCellMar>
            <w:top w:w="0" w:type="dxa"/>
            <w:left w:w="108" w:type="dxa"/>
            <w:bottom w:w="0" w:type="dxa"/>
            <w:right w:w="108" w:type="dxa"/>
          </w:tblCellMar>
        </w:tblPrEx>
        <w:trPr>
          <w:trHeight w:val="329" w:hRule="atLeast"/>
          <w:jc w:val="center"/>
        </w:trPr>
        <w:tc>
          <w:tcPr>
            <w:tcW w:w="13982" w:type="dxa"/>
            <w:gridSpan w:val="37"/>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华文中宋" w:hAnsi="华文中宋" w:eastAsia="华文中宋" w:cs="华文中宋"/>
                <w:color w:val="000000"/>
                <w:kern w:val="2"/>
                <w:sz w:val="32"/>
                <w:szCs w:val="32"/>
                <w:lang w:val="en-US" w:eastAsia="zh-CN" w:bidi="ar"/>
              </w:rPr>
              <w:t>支出决算表</w:t>
            </w:r>
          </w:p>
        </w:tc>
      </w:tr>
      <w:tr>
        <w:tblPrEx>
          <w:tblCellMar>
            <w:top w:w="0" w:type="dxa"/>
            <w:left w:w="108" w:type="dxa"/>
            <w:bottom w:w="0" w:type="dxa"/>
            <w:right w:w="108" w:type="dxa"/>
          </w:tblCellMar>
        </w:tblPrEx>
        <w:trPr>
          <w:gridBefore w:val="1"/>
          <w:wBefore w:w="30" w:type="dxa"/>
          <w:trHeight w:val="285" w:hRule="atLeast"/>
          <w:jc w:val="center"/>
        </w:trPr>
        <w:tc>
          <w:tcPr>
            <w:tcW w:w="999"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510"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7" w:type="dxa"/>
            <w:gridSpan w:val="6"/>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727" w:type="dxa"/>
            <w:gridSpan w:val="8"/>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3"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03</w:t>
            </w:r>
            <w:r>
              <w:rPr>
                <w:rFonts w:hint="eastAsia" w:ascii="Times New Roman" w:hAnsi="Times New Roman" w:eastAsia="宋体" w:cs="宋体"/>
                <w:color w:val="000000"/>
                <w:kern w:val="2"/>
                <w:sz w:val="20"/>
                <w:szCs w:val="20"/>
                <w:lang w:val="en-US" w:eastAsia="zh-CN" w:bidi="ar"/>
              </w:rPr>
              <w:t>表</w:t>
            </w:r>
          </w:p>
        </w:tc>
      </w:tr>
      <w:tr>
        <w:tblPrEx>
          <w:tblCellMar>
            <w:top w:w="0" w:type="dxa"/>
            <w:left w:w="108" w:type="dxa"/>
            <w:bottom w:w="0" w:type="dxa"/>
            <w:right w:w="108" w:type="dxa"/>
          </w:tblCellMar>
        </w:tblPrEx>
        <w:trPr>
          <w:gridBefore w:val="1"/>
          <w:wBefore w:w="30" w:type="dxa"/>
          <w:trHeight w:val="300" w:hRule="atLeast"/>
          <w:jc w:val="center"/>
        </w:trPr>
        <w:tc>
          <w:tcPr>
            <w:tcW w:w="13952" w:type="dxa"/>
            <w:gridSpan w:val="36"/>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6"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1843"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本年支出合计</w:t>
            </w:r>
          </w:p>
        </w:tc>
        <w:tc>
          <w:tcPr>
            <w:tcW w:w="1349" w:type="dxa"/>
            <w:gridSpan w:val="3"/>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p>
        </w:tc>
        <w:tc>
          <w:tcPr>
            <w:tcW w:w="1378"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c>
          <w:tcPr>
            <w:tcW w:w="1349"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上缴上级支出</w:t>
            </w:r>
          </w:p>
        </w:tc>
        <w:tc>
          <w:tcPr>
            <w:tcW w:w="1348"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经营支出</w:t>
            </w:r>
          </w:p>
        </w:tc>
        <w:tc>
          <w:tcPr>
            <w:tcW w:w="1323" w:type="dxa"/>
            <w:gridSpan w:val="2"/>
            <w:vMerge w:val="restart"/>
            <w:tcBorders>
              <w:top w:val="single" w:color="auto" w:sz="6"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对附属单位补助支出</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vMerge w:val="restart"/>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4363" w:type="dxa"/>
            <w:gridSpan w:val="9"/>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1843"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3" w:type="dxa"/>
            <w:gridSpan w:val="2"/>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vMerge w:val="continue"/>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3" w:type="dxa"/>
            <w:gridSpan w:val="9"/>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3"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3" w:type="dxa"/>
            <w:gridSpan w:val="2"/>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1843"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7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349"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3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323" w:type="dxa"/>
            <w:gridSpan w:val="2"/>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26,854.32</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6,253.38</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20,600.94</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color w:val="000000"/>
                <w:sz w:val="22"/>
                <w:szCs w:val="22"/>
                <w:lang w:val="en-US"/>
              </w:rPr>
            </w:pPr>
            <w:r>
              <w:rPr>
                <w:rFonts w:hint="default" w:ascii="Times New Roman" w:hAnsi="Times New Roman" w:eastAsia="宋体" w:cs="Arial"/>
                <w:b/>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教育费附加安排的支出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其他教育费附加安排的支出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2070104</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图书馆</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社会保障和就业支出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2,461.77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1,802.36</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行政事业单位离退休</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2080501</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归口管理的行政单位离退休</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就业补助</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其他就业补助支出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w:t>
            </w:r>
          </w:p>
        </w:tc>
        <w:tc>
          <w:tcPr>
            <w:tcW w:w="4363" w:type="dxa"/>
            <w:gridSpan w:val="9"/>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社会福利</w:t>
            </w:r>
          </w:p>
        </w:tc>
        <w:tc>
          <w:tcPr>
            <w:tcW w:w="1843"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1349"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1349"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其他社会福利支出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其他社会保障和就业支出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其他社会保障和就业支出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医疗卫生与计划生育支出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计划生育事务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252"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其他计划生育事务支出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22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22,818.04</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5,593.97</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17,224.07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城乡社区管理事务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16,115.69</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5,593.97</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10,521.71</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235"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行政运行</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4,646.05</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4,646.05</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一般行政管理事务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7,455.31</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7,455.31</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其他城乡社区管理事务支出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4,014.32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947.92</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3,066.40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城乡社区公共设施</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2120303</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小城镇基础设施建设</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16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其他城乡社区公共设施支出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13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城乡社区环境卫生</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132"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城乡社区环境卫生</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资源勘探信息等支出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安全生产监管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9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其他安全生产监管支出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10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9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彩票公益金及对应专项债务收入安排的支出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9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2296002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用于社会福利的彩票公益金支出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90" w:hRule="atLeast"/>
          <w:jc w:val="center"/>
        </w:trPr>
        <w:tc>
          <w:tcPr>
            <w:tcW w:w="13952" w:type="dxa"/>
            <w:gridSpan w:val="36"/>
            <w:tcBorders>
              <w:top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sz w:val="20"/>
                <w:szCs w:val="20"/>
                <w:lang w:val="en-US"/>
              </w:rPr>
            </w:pPr>
            <w:r>
              <w:rPr>
                <w:rFonts w:hint="eastAsia" w:ascii="Times New Roman" w:hAnsi="Times New Roman" w:eastAsia="宋体" w:cs="宋体"/>
                <w:kern w:val="2"/>
                <w:sz w:val="20"/>
                <w:szCs w:val="20"/>
                <w:lang w:val="en-US" w:eastAsia="zh-CN" w:bidi="ar"/>
              </w:rPr>
              <w:t>注：本表反映部门本年度各项支出情况。</w:t>
            </w:r>
          </w:p>
        </w:tc>
      </w:tr>
      <w:tr>
        <w:tblPrEx>
          <w:tblCellMar>
            <w:top w:w="0" w:type="dxa"/>
            <w:left w:w="108" w:type="dxa"/>
            <w:bottom w:w="0" w:type="dxa"/>
            <w:right w:w="108" w:type="dxa"/>
          </w:tblCellMar>
        </w:tblPrEx>
        <w:trPr>
          <w:gridBefore w:val="1"/>
          <w:wBefore w:w="30" w:type="dxa"/>
          <w:trHeight w:val="390" w:hRule="atLeast"/>
          <w:jc w:val="center"/>
        </w:trPr>
        <w:tc>
          <w:tcPr>
            <w:tcW w:w="13952" w:type="dxa"/>
            <w:gridSpan w:val="36"/>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sz w:val="20"/>
                <w:szCs w:val="20"/>
                <w:lang w:val="en-US"/>
              </w:rPr>
            </w:pPr>
            <w:bookmarkStart w:id="0" w:name="RANGE!A1:H34"/>
            <w:r>
              <w:rPr>
                <w:rFonts w:hint="eastAsia" w:ascii="华文中宋" w:hAnsi="华文中宋" w:eastAsia="华文中宋" w:cs="华文中宋"/>
                <w:color w:val="000000"/>
                <w:kern w:val="2"/>
                <w:sz w:val="32"/>
                <w:szCs w:val="32"/>
                <w:lang w:val="en-US" w:eastAsia="zh-CN" w:bidi="ar"/>
              </w:rPr>
              <w:t>财政拨款收入支出决算总表</w:t>
            </w:r>
            <w:bookmarkEnd w:id="0"/>
          </w:p>
        </w:tc>
      </w:tr>
      <w:tr>
        <w:tblPrEx>
          <w:tblCellMar>
            <w:top w:w="0" w:type="dxa"/>
            <w:left w:w="108" w:type="dxa"/>
            <w:bottom w:w="0" w:type="dxa"/>
            <w:right w:w="108" w:type="dxa"/>
          </w:tblCellMar>
        </w:tblPrEx>
        <w:trPr>
          <w:gridBefore w:val="1"/>
          <w:wBefore w:w="30" w:type="dxa"/>
          <w:trHeight w:val="199" w:hRule="atLeast"/>
          <w:jc w:val="center"/>
        </w:trPr>
        <w:tc>
          <w:tcPr>
            <w:tcW w:w="3051"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532"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0"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621" w:type="dxa"/>
            <w:gridSpan w:val="10"/>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0"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78" w:type="dxa"/>
            <w:gridSpan w:val="6"/>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2"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04</w:t>
            </w:r>
            <w:r>
              <w:rPr>
                <w:rFonts w:hint="eastAsia" w:ascii="Times New Roman" w:hAnsi="Times New Roman" w:eastAsia="宋体" w:cs="宋体"/>
                <w:color w:val="000000"/>
                <w:kern w:val="2"/>
                <w:sz w:val="20"/>
                <w:szCs w:val="20"/>
                <w:lang w:val="en-US" w:eastAsia="zh-CN" w:bidi="ar"/>
              </w:rPr>
              <w:t>表</w:t>
            </w:r>
          </w:p>
        </w:tc>
      </w:tr>
      <w:tr>
        <w:tblPrEx>
          <w:tblCellMar>
            <w:top w:w="0" w:type="dxa"/>
            <w:left w:w="108" w:type="dxa"/>
            <w:bottom w:w="0" w:type="dxa"/>
            <w:right w:w="108" w:type="dxa"/>
          </w:tblCellMar>
        </w:tblPrEx>
        <w:trPr>
          <w:gridBefore w:val="1"/>
          <w:wBefore w:w="30" w:type="dxa"/>
          <w:trHeight w:val="300" w:hRule="atLeast"/>
          <w:jc w:val="center"/>
        </w:trPr>
        <w:tc>
          <w:tcPr>
            <w:tcW w:w="13952" w:type="dxa"/>
            <w:gridSpan w:val="36"/>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tblPrEx>
          <w:tblCellMar>
            <w:top w:w="0" w:type="dxa"/>
            <w:left w:w="108" w:type="dxa"/>
            <w:bottom w:w="0" w:type="dxa"/>
            <w:right w:w="108" w:type="dxa"/>
          </w:tblCellMar>
        </w:tblPrEx>
        <w:trPr>
          <w:gridBefore w:val="1"/>
          <w:wBefore w:w="30" w:type="dxa"/>
          <w:trHeight w:val="402" w:hRule="atLeast"/>
          <w:jc w:val="center"/>
        </w:trPr>
        <w:tc>
          <w:tcPr>
            <w:tcW w:w="5079" w:type="dxa"/>
            <w:gridSpan w:val="10"/>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收入</w:t>
            </w:r>
          </w:p>
        </w:tc>
        <w:tc>
          <w:tcPr>
            <w:tcW w:w="8873" w:type="dxa"/>
            <w:gridSpan w:val="26"/>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支出</w:t>
            </w:r>
          </w:p>
        </w:tc>
      </w:tr>
      <w:tr>
        <w:tblPrEx>
          <w:tblCellMar>
            <w:top w:w="0" w:type="dxa"/>
            <w:left w:w="108" w:type="dxa"/>
            <w:bottom w:w="0" w:type="dxa"/>
            <w:right w:w="108" w:type="dxa"/>
          </w:tblCellMar>
        </w:tblPrEx>
        <w:trPr>
          <w:gridBefore w:val="1"/>
          <w:wBefore w:w="30" w:type="dxa"/>
          <w:trHeight w:val="630"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行次</w:t>
            </w:r>
          </w:p>
        </w:tc>
        <w:tc>
          <w:tcPr>
            <w:tcW w:w="141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金额</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行次</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一般公共预算财政拨款</w:t>
            </w:r>
          </w:p>
        </w:tc>
        <w:tc>
          <w:tcPr>
            <w:tcW w:w="152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政府性基金预算财政拨款</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41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52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一、一般公共预算财政拨款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26,278.24</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一、一般公共服务支出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二、政府性基金预算财政拨款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二、外交支出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三、国防支出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四、公共安全支出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五、教育支出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六、科学技术支出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七、文化体育与传媒支出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八、社会保障和就业支出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35</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2,461.77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2,461.77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九、医疗卫生与计划生育支出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36</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十、节能环保支出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37</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36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十一、城乡社区支出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22,809.78</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22,809.78</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十二、农林水支出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十三、交通运输支出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十四、资源勘探信息等支出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十五、商业服务业等支出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十六、金融支出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十七、援助其他地区支出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18</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十八、国土海洋气象等支出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45</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19</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十九、住房保障支出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46</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20</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二十、粮油物资储备支出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47</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二十一、其他支出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本年收入合计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26,925.91</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本年支出合计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26,846.06</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26,198.40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年初财政拨款结转和结余</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718.20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年末财政拨款结转和结余</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798.04</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798.04</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一般公共预算财政拨款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718.20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政府性基金预算财政拨款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r>
      <w:tr>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　</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r>
      <w:tr>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合计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b/>
                <w:bCs w:val="0"/>
                <w:color w:val="000000"/>
                <w:kern w:val="2"/>
                <w:sz w:val="22"/>
                <w:szCs w:val="22"/>
                <w:lang w:val="en-US" w:eastAsia="zh-CN" w:bidi="ar"/>
              </w:rPr>
              <w:t>27,644.10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合计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b/>
                <w:bCs w:val="0"/>
                <w:color w:val="000000"/>
                <w:kern w:val="2"/>
                <w:sz w:val="22"/>
                <w:szCs w:val="22"/>
                <w:lang w:val="en-US" w:eastAsia="zh-CN" w:bidi="ar"/>
              </w:rPr>
              <w:t>27,644.10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b/>
                <w:bCs w:val="0"/>
                <w:color w:val="000000"/>
                <w:kern w:val="2"/>
                <w:sz w:val="22"/>
                <w:szCs w:val="22"/>
                <w:lang w:val="en-US" w:eastAsia="zh-CN" w:bidi="ar"/>
              </w:rPr>
              <w:t>26,996.44</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b/>
                <w:bCs w:val="0"/>
                <w:color w:val="000000"/>
                <w:kern w:val="2"/>
                <w:sz w:val="22"/>
                <w:szCs w:val="22"/>
                <w:lang w:val="en-US" w:eastAsia="zh-CN" w:bidi="ar"/>
              </w:rPr>
              <w:t>647.66</w:t>
            </w:r>
          </w:p>
        </w:tc>
      </w:tr>
      <w:tr>
        <w:tblPrEx>
          <w:tblCellMar>
            <w:top w:w="0" w:type="dxa"/>
            <w:left w:w="108" w:type="dxa"/>
            <w:bottom w:w="0" w:type="dxa"/>
            <w:right w:w="108" w:type="dxa"/>
          </w:tblCellMar>
        </w:tblPrEx>
        <w:trPr>
          <w:gridBefore w:val="1"/>
          <w:wBefore w:w="30" w:type="dxa"/>
          <w:trHeight w:val="585" w:hRule="atLeast"/>
          <w:jc w:val="center"/>
        </w:trPr>
        <w:tc>
          <w:tcPr>
            <w:tcW w:w="13952" w:type="dxa"/>
            <w:gridSpan w:val="36"/>
            <w:tcBorders>
              <w:top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注：本表反映部门本年度一般公共预算财政拨款和政府性基金预算财政拨款的总收支和年末结转结余情况。</w:t>
            </w:r>
          </w:p>
        </w:tc>
      </w:tr>
    </w:tbl>
    <w:p>
      <w:pPr>
        <w:keepNext w:val="0"/>
        <w:keepLines w:val="0"/>
        <w:widowControl w:val="0"/>
        <w:suppressLineNumbers w:val="0"/>
        <w:spacing w:before="0" w:beforeAutospacing="0" w:after="0" w:afterAutospacing="0"/>
        <w:ind w:left="0" w:right="0"/>
        <w:jc w:val="both"/>
        <w:outlineLvl w:val="0"/>
        <w:rPr>
          <w:rFonts w:hint="eastAsia" w:ascii="仿宋_GB2312" w:eastAsia="仿宋_GB2312" w:cs="仿宋_GB2312"/>
          <w:sz w:val="32"/>
          <w:szCs w:val="32"/>
          <w:lang w:val="en-US"/>
        </w:rPr>
      </w:pPr>
    </w:p>
    <w:tbl>
      <w:tblPr>
        <w:tblStyle w:val="6"/>
        <w:tblpPr w:leftFromText="180" w:rightFromText="180" w:horzAnchor="margin" w:tblpXSpec="left" w:tblpY="480"/>
        <w:tblW w:w="15620" w:type="dxa"/>
        <w:tblInd w:w="0" w:type="dxa"/>
        <w:shd w:val="clear" w:color="auto" w:fill="auto"/>
        <w:tblLayout w:type="fixed"/>
        <w:tblCellMar>
          <w:top w:w="0" w:type="dxa"/>
          <w:left w:w="108" w:type="dxa"/>
          <w:bottom w:w="0" w:type="dxa"/>
          <w:right w:w="108" w:type="dxa"/>
        </w:tblCellMar>
      </w:tblPr>
      <w:tblGrid>
        <w:gridCol w:w="1267"/>
        <w:gridCol w:w="3284"/>
        <w:gridCol w:w="497"/>
        <w:gridCol w:w="2764"/>
        <w:gridCol w:w="760"/>
        <w:gridCol w:w="2216"/>
        <w:gridCol w:w="1308"/>
        <w:gridCol w:w="1811"/>
        <w:gridCol w:w="1713"/>
      </w:tblGrid>
      <w:tr>
        <w:tblPrEx>
          <w:shd w:val="clear" w:color="auto" w:fill="auto"/>
          <w:tblCellMar>
            <w:top w:w="0" w:type="dxa"/>
            <w:left w:w="108" w:type="dxa"/>
            <w:bottom w:w="0" w:type="dxa"/>
            <w:right w:w="108" w:type="dxa"/>
          </w:tblCellMar>
        </w:tblPrEx>
        <w:trPr>
          <w:trHeight w:val="600" w:hRule="atLeast"/>
        </w:trPr>
        <w:tc>
          <w:tcPr>
            <w:tcW w:w="15620" w:type="dxa"/>
            <w:gridSpan w:val="9"/>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1" w:name="RANGE!A1:E45"/>
            <w:r>
              <w:rPr>
                <w:rFonts w:hint="eastAsia" w:ascii="华文中宋" w:hAnsi="华文中宋" w:eastAsia="华文中宋" w:cs="华文中宋"/>
                <w:kern w:val="2"/>
                <w:sz w:val="32"/>
                <w:szCs w:val="32"/>
                <w:lang w:val="en-US" w:eastAsia="zh-CN" w:bidi="ar"/>
              </w:rPr>
              <w:t>一般公共预算财政拨款支出决算表</w:t>
            </w:r>
            <w:bookmarkEnd w:id="1"/>
          </w:p>
        </w:tc>
      </w:tr>
      <w:tr>
        <w:tblPrEx>
          <w:shd w:val="clear" w:color="auto" w:fill="auto"/>
          <w:tblCellMar>
            <w:top w:w="0" w:type="dxa"/>
            <w:left w:w="108" w:type="dxa"/>
            <w:bottom w:w="0" w:type="dxa"/>
            <w:right w:w="108" w:type="dxa"/>
          </w:tblCellMar>
        </w:tblPrEx>
        <w:trPr>
          <w:trHeight w:val="222" w:hRule="atLeast"/>
        </w:trPr>
        <w:tc>
          <w:tcPr>
            <w:tcW w:w="1267"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781"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24"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24"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24"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400" w:firstLine="800" w:firstLineChars="40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05</w:t>
            </w:r>
            <w:r>
              <w:rPr>
                <w:rFonts w:hint="eastAsia" w:ascii="Times New Roman" w:hAnsi="Times New Roman" w:eastAsia="宋体" w:cs="宋体"/>
                <w:color w:val="000000"/>
                <w:kern w:val="2"/>
                <w:sz w:val="20"/>
                <w:szCs w:val="20"/>
                <w:lang w:val="en-US" w:eastAsia="zh-CN" w:bidi="ar"/>
              </w:rPr>
              <w:t>表</w:t>
            </w:r>
          </w:p>
        </w:tc>
      </w:tr>
      <w:tr>
        <w:tblPrEx>
          <w:shd w:val="clear" w:color="auto" w:fill="auto"/>
          <w:tblCellMar>
            <w:top w:w="0" w:type="dxa"/>
            <w:left w:w="108" w:type="dxa"/>
            <w:bottom w:w="0" w:type="dxa"/>
            <w:right w:w="108" w:type="dxa"/>
          </w:tblCellMar>
        </w:tblPrEx>
        <w:trPr>
          <w:trHeight w:val="300" w:hRule="atLeast"/>
        </w:trPr>
        <w:tc>
          <w:tcPr>
            <w:tcW w:w="8572" w:type="dxa"/>
            <w:gridSpan w:val="5"/>
            <w:tcBorders>
              <w:top w:val="nil"/>
              <w:left w:val="nil"/>
              <w:bottom w:val="single" w:color="auto" w:sz="8"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3524" w:type="dxa"/>
            <w:gridSpan w:val="2"/>
            <w:tcBorders>
              <w:top w:val="nil"/>
              <w:left w:val="nil"/>
              <w:bottom w:val="single" w:color="auto" w:sz="8"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r>
              <w:rPr>
                <w:rFonts w:hint="default" w:ascii="Times New Roman" w:hAnsi="Times New Roman" w:eastAsia="宋体" w:cs="Times New Roman"/>
                <w:kern w:val="2"/>
                <w:sz w:val="20"/>
                <w:szCs w:val="20"/>
                <w:lang w:val="en-US" w:eastAsia="zh-CN" w:bidi="ar"/>
              </w:rPr>
              <w:t xml:space="preserve">  </w:t>
            </w:r>
          </w:p>
        </w:tc>
        <w:tc>
          <w:tcPr>
            <w:tcW w:w="3524"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400" w:firstLine="700" w:firstLineChars="35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单位：万元</w:t>
            </w:r>
          </w:p>
        </w:tc>
      </w:tr>
      <w:tr>
        <w:tblPrEx>
          <w:shd w:val="clear" w:color="auto" w:fill="auto"/>
          <w:tblCellMar>
            <w:top w:w="0" w:type="dxa"/>
            <w:left w:w="108" w:type="dxa"/>
            <w:bottom w:w="0" w:type="dxa"/>
            <w:right w:w="108" w:type="dxa"/>
          </w:tblCellMar>
        </w:tblPrEx>
        <w:trPr>
          <w:gridAfter w:val="1"/>
          <w:wAfter w:w="1713" w:type="dxa"/>
          <w:trHeight w:val="170" w:hRule="atLeast"/>
        </w:trPr>
        <w:tc>
          <w:tcPr>
            <w:tcW w:w="455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3261"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本年支出合计</w:t>
            </w:r>
          </w:p>
        </w:tc>
        <w:tc>
          <w:tcPr>
            <w:tcW w:w="2976"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r>
              <w:rPr>
                <w:rFonts w:hint="default" w:ascii="Times New Roman" w:hAnsi="Times New Roman" w:eastAsia="宋体" w:cs="Times New Roman"/>
                <w:kern w:val="2"/>
                <w:sz w:val="21"/>
                <w:szCs w:val="20"/>
                <w:lang w:val="en-US" w:eastAsia="zh-CN" w:bidi="ar"/>
              </w:rPr>
              <w:t xml:space="preserve">  </w:t>
            </w:r>
          </w:p>
        </w:tc>
        <w:tc>
          <w:tcPr>
            <w:tcW w:w="3119"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r>
      <w:tr>
        <w:tblPrEx>
          <w:shd w:val="clear" w:color="auto" w:fill="auto"/>
          <w:tblCellMar>
            <w:top w:w="0" w:type="dxa"/>
            <w:left w:w="108" w:type="dxa"/>
            <w:bottom w:w="0" w:type="dxa"/>
            <w:right w:w="108" w:type="dxa"/>
          </w:tblCellMar>
        </w:tblPrEx>
        <w:trPr>
          <w:gridAfter w:val="1"/>
          <w:wAfter w:w="1713" w:type="dxa"/>
          <w:trHeight w:val="312" w:hRule="atLeast"/>
        </w:trPr>
        <w:tc>
          <w:tcPr>
            <w:tcW w:w="1267"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328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326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6"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gridAfter w:val="1"/>
          <w:wAfter w:w="1713" w:type="dxa"/>
          <w:trHeight w:val="312" w:hRule="atLeast"/>
        </w:trPr>
        <w:tc>
          <w:tcPr>
            <w:tcW w:w="1267"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6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6"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gridAfter w:val="1"/>
          <w:wAfter w:w="1713" w:type="dxa"/>
          <w:trHeight w:val="312" w:hRule="atLeast"/>
        </w:trPr>
        <w:tc>
          <w:tcPr>
            <w:tcW w:w="1267"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8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6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6"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gridAfter w:val="1"/>
          <w:wAfter w:w="1713" w:type="dxa"/>
          <w:trHeight w:val="220" w:hRule="atLeast"/>
        </w:trPr>
        <w:tc>
          <w:tcPr>
            <w:tcW w:w="455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r>
      <w:tr>
        <w:tblPrEx>
          <w:shd w:val="clear" w:color="auto" w:fill="auto"/>
          <w:tblCellMar>
            <w:top w:w="0" w:type="dxa"/>
            <w:left w:w="108" w:type="dxa"/>
            <w:bottom w:w="0" w:type="dxa"/>
            <w:right w:w="108" w:type="dxa"/>
          </w:tblCellMar>
        </w:tblPrEx>
        <w:trPr>
          <w:gridAfter w:val="1"/>
          <w:wAfter w:w="1713" w:type="dxa"/>
          <w:trHeight w:val="160" w:hRule="atLeast"/>
        </w:trPr>
        <w:tc>
          <w:tcPr>
            <w:tcW w:w="455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Times New Roman" w:hAnsi="Times New Roman" w:eastAsia="宋体" w:cs="宋体"/>
                <w:b/>
                <w:bCs w:val="0"/>
                <w:kern w:val="2"/>
                <w:sz w:val="21"/>
                <w:szCs w:val="20"/>
                <w:lang w:val="en-US" w:eastAsia="zh-CN" w:bidi="ar"/>
              </w:rPr>
              <w:t>合计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26,198.40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6,253.38</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19,945.02</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教育费附加安排的支出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2050999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其他教育费附加安排的支出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1.90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文化体育与传媒支出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108.97</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文化</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2070104</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图书馆</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68.97</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其他文化体育与传媒支出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2079999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其他文化体育与传媒支出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社会保障和就业支出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2,461.77</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1,802.36</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行政事业单位离退休</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2080501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归口管理的行政单位离退休</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659.41</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就业补助</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2080799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其他就业补助支出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445.33</w:t>
            </w:r>
          </w:p>
        </w:tc>
      </w:tr>
      <w:tr>
        <w:tblPrEx>
          <w:shd w:val="clear" w:color="auto" w:fill="auto"/>
          <w:tblCellMar>
            <w:top w:w="0" w:type="dxa"/>
            <w:left w:w="108" w:type="dxa"/>
            <w:bottom w:w="0" w:type="dxa"/>
            <w:right w:w="108" w:type="dxa"/>
          </w:tblCellMar>
        </w:tblPrEx>
        <w:trPr>
          <w:gridAfter w:val="1"/>
          <w:wAfter w:w="1713" w:type="dxa"/>
          <w:trHeight w:val="245"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社会福利</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2081099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其他社会福利支出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66.00</w:t>
            </w:r>
          </w:p>
        </w:tc>
      </w:tr>
      <w:tr>
        <w:tblPrEx>
          <w:shd w:val="clear" w:color="auto" w:fill="auto"/>
          <w:tblCellMar>
            <w:top w:w="0" w:type="dxa"/>
            <w:left w:w="108" w:type="dxa"/>
            <w:bottom w:w="0" w:type="dxa"/>
            <w:right w:w="108" w:type="dxa"/>
          </w:tblCellMar>
        </w:tblPrEx>
        <w:trPr>
          <w:gridAfter w:val="1"/>
          <w:wAfter w:w="1713" w:type="dxa"/>
          <w:trHeight w:val="205"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其他社会保障和就业支出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2089901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其他社会保障和就业支出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1,291.02</w:t>
            </w:r>
          </w:p>
        </w:tc>
      </w:tr>
      <w:tr>
        <w:tblPrEx>
          <w:shd w:val="clear" w:color="auto" w:fill="auto"/>
          <w:tblCellMar>
            <w:top w:w="0" w:type="dxa"/>
            <w:left w:w="108" w:type="dxa"/>
            <w:bottom w:w="0" w:type="dxa"/>
            <w:right w:w="108" w:type="dxa"/>
          </w:tblCellMar>
        </w:tblPrEx>
        <w:trPr>
          <w:gridAfter w:val="1"/>
          <w:wAfter w:w="1713" w:type="dxa"/>
          <w:trHeight w:val="10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医疗卫生与计划生育支出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r>
      <w:tr>
        <w:tblPrEx>
          <w:shd w:val="clear" w:color="auto" w:fill="auto"/>
          <w:tblCellMar>
            <w:top w:w="0" w:type="dxa"/>
            <w:left w:w="108" w:type="dxa"/>
            <w:bottom w:w="0" w:type="dxa"/>
            <w:right w:w="108" w:type="dxa"/>
          </w:tblCellMar>
        </w:tblPrEx>
        <w:trPr>
          <w:gridAfter w:val="1"/>
          <w:wAfter w:w="1713" w:type="dxa"/>
          <w:trHeight w:val="13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计划生育事务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2100799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其他计划生育事务支出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160.92</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22,809.78</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5,593.97</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17,215.81</w:t>
            </w:r>
          </w:p>
        </w:tc>
      </w:tr>
      <w:tr>
        <w:tblPrEx>
          <w:shd w:val="clear" w:color="auto" w:fill="auto"/>
          <w:tblCellMar>
            <w:top w:w="0" w:type="dxa"/>
            <w:left w:w="108" w:type="dxa"/>
            <w:bottom w:w="0" w:type="dxa"/>
            <w:right w:w="108" w:type="dxa"/>
          </w:tblCellMar>
        </w:tblPrEx>
        <w:trPr>
          <w:gridAfter w:val="1"/>
          <w:wAfter w:w="1713" w:type="dxa"/>
          <w:trHeight w:val="13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城乡社区管理事务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16,107.42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5,593.97</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10,513.45</w:t>
            </w:r>
          </w:p>
        </w:tc>
      </w:tr>
      <w:tr>
        <w:tblPrEx>
          <w:shd w:val="clear" w:color="auto" w:fill="auto"/>
          <w:tblCellMar>
            <w:top w:w="0" w:type="dxa"/>
            <w:left w:w="108" w:type="dxa"/>
            <w:bottom w:w="0" w:type="dxa"/>
            <w:right w:w="108" w:type="dxa"/>
          </w:tblCellMar>
        </w:tblPrEx>
        <w:trPr>
          <w:gridAfter w:val="1"/>
          <w:wAfter w:w="1713" w:type="dxa"/>
          <w:trHeight w:val="115"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行政运行</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4,646.05</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4,646.05</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2120102</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一般行政管理事务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7,447.05</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7,447.05</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2120199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其他城乡社区管理事务支出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4,014.32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947.92</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3,066.40</w:t>
            </w:r>
          </w:p>
        </w:tc>
      </w:tr>
      <w:tr>
        <w:tblPrEx>
          <w:shd w:val="clear" w:color="auto" w:fill="auto"/>
          <w:tblCellMar>
            <w:top w:w="0" w:type="dxa"/>
            <w:left w:w="108" w:type="dxa"/>
            <w:bottom w:w="0" w:type="dxa"/>
            <w:right w:w="108" w:type="dxa"/>
          </w:tblCellMar>
        </w:tblPrEx>
        <w:trPr>
          <w:gridAfter w:val="1"/>
          <w:wAfter w:w="1713" w:type="dxa"/>
          <w:trHeight w:val="145"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城乡社区公共设施</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1,693.67</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2120303</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小城镇基础设施建设</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23.95</w:t>
            </w:r>
          </w:p>
        </w:tc>
      </w:tr>
      <w:tr>
        <w:tblPrEx>
          <w:shd w:val="clear" w:color="auto" w:fill="auto"/>
          <w:tblCellMar>
            <w:top w:w="0" w:type="dxa"/>
            <w:left w:w="108" w:type="dxa"/>
            <w:bottom w:w="0" w:type="dxa"/>
            <w:right w:w="108" w:type="dxa"/>
          </w:tblCellMar>
        </w:tblPrEx>
        <w:trPr>
          <w:gridAfter w:val="1"/>
          <w:wAfter w:w="1713" w:type="dxa"/>
          <w:trHeight w:val="10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2120399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其他城乡社区公共设施支出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1,669.72</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城乡社区环境卫生</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r>
      <w:tr>
        <w:tblPrEx>
          <w:shd w:val="clear" w:color="auto" w:fill="auto"/>
          <w:tblCellMar>
            <w:top w:w="0" w:type="dxa"/>
            <w:left w:w="108" w:type="dxa"/>
            <w:bottom w:w="0" w:type="dxa"/>
            <w:right w:w="108" w:type="dxa"/>
          </w:tblCellMar>
        </w:tblPrEx>
        <w:trPr>
          <w:gridAfter w:val="1"/>
          <w:wAfter w:w="1713" w:type="dxa"/>
          <w:trHeight w:val="9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2120501</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城乡社区环境卫生</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5,008.68</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其他城乡社区支出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After w:val="1"/>
          <w:wAfter w:w="1713" w:type="dxa"/>
          <w:trHeight w:val="9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2129999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其他城乡社区支出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资源勘探信息等支出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r>
      <w:tr>
        <w:tblPrEx>
          <w:shd w:val="clear" w:color="auto" w:fill="auto"/>
          <w:tblCellMar>
            <w:top w:w="0" w:type="dxa"/>
            <w:left w:w="108" w:type="dxa"/>
            <w:bottom w:w="0" w:type="dxa"/>
            <w:right w:w="108" w:type="dxa"/>
          </w:tblCellMar>
        </w:tblPrEx>
        <w:trPr>
          <w:gridAfter w:val="1"/>
          <w:wAfter w:w="1713" w:type="dxa"/>
          <w:trHeight w:val="145"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安全生产监管</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r>
      <w:tr>
        <w:tblPrEx>
          <w:shd w:val="clear" w:color="auto" w:fill="auto"/>
          <w:tblCellMar>
            <w:top w:w="0" w:type="dxa"/>
            <w:left w:w="108" w:type="dxa"/>
            <w:bottom w:w="0" w:type="dxa"/>
            <w:right w:w="108" w:type="dxa"/>
          </w:tblCellMar>
        </w:tblPrEx>
        <w:trPr>
          <w:gridAfter w:val="1"/>
          <w:wAfter w:w="1713" w:type="dxa"/>
          <w:trHeight w:val="340" w:hRule="atLeast"/>
        </w:trPr>
        <w:tc>
          <w:tcPr>
            <w:tcW w:w="12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2150699</w:t>
            </w:r>
          </w:p>
        </w:tc>
        <w:tc>
          <w:tcPr>
            <w:tcW w:w="32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其他安全生产监管支出</w:t>
            </w:r>
          </w:p>
        </w:tc>
        <w:tc>
          <w:tcPr>
            <w:tcW w:w="326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c>
          <w:tcPr>
            <w:tcW w:w="2976"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311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655.06</w:t>
            </w:r>
          </w:p>
        </w:tc>
      </w:tr>
      <w:tr>
        <w:tblPrEx>
          <w:shd w:val="clear" w:color="auto" w:fill="auto"/>
          <w:tblCellMar>
            <w:top w:w="0" w:type="dxa"/>
            <w:left w:w="108" w:type="dxa"/>
            <w:bottom w:w="0" w:type="dxa"/>
            <w:right w:w="108" w:type="dxa"/>
          </w:tblCellMar>
        </w:tblPrEx>
        <w:trPr>
          <w:trHeight w:val="420" w:hRule="atLeast"/>
        </w:trPr>
        <w:tc>
          <w:tcPr>
            <w:tcW w:w="15620" w:type="dxa"/>
            <w:gridSpan w:val="9"/>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注：本表反映部门本年度一般公共预算财政拨款实际支出情况。</w:t>
            </w:r>
          </w:p>
        </w:tc>
      </w:tr>
    </w:tbl>
    <w:tbl>
      <w:tblPr>
        <w:tblStyle w:val="6"/>
        <w:tblW w:w="13984" w:type="dxa"/>
        <w:jc w:val="center"/>
        <w:shd w:val="clear" w:color="auto" w:fill="auto"/>
        <w:tblLayout w:type="fixed"/>
        <w:tblCellMar>
          <w:top w:w="0" w:type="dxa"/>
          <w:left w:w="108" w:type="dxa"/>
          <w:bottom w:w="0" w:type="dxa"/>
          <w:right w:w="108" w:type="dxa"/>
        </w:tblCellMar>
      </w:tblPr>
      <w:tblGrid>
        <w:gridCol w:w="789"/>
        <w:gridCol w:w="3312"/>
        <w:gridCol w:w="1240"/>
        <w:gridCol w:w="781"/>
        <w:gridCol w:w="2218"/>
        <w:gridCol w:w="1260"/>
        <w:gridCol w:w="764"/>
        <w:gridCol w:w="2656"/>
        <w:gridCol w:w="964"/>
      </w:tblGrid>
      <w:tr>
        <w:tblPrEx>
          <w:shd w:val="clear" w:color="auto" w:fill="auto"/>
          <w:tblCellMar>
            <w:top w:w="0" w:type="dxa"/>
            <w:left w:w="108" w:type="dxa"/>
            <w:bottom w:w="0" w:type="dxa"/>
            <w:right w:w="108" w:type="dxa"/>
          </w:tblCellMar>
        </w:tblPrEx>
        <w:trPr>
          <w:trHeight w:val="480" w:hRule="atLeast"/>
          <w:jc w:val="center"/>
        </w:trPr>
        <w:tc>
          <w:tcPr>
            <w:tcW w:w="13984" w:type="dxa"/>
            <w:gridSpan w:val="9"/>
            <w:shd w:val="clear" w:color="auto" w:fill="auto"/>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30"/>
                <w:szCs w:val="30"/>
                <w:lang w:val="en-US"/>
              </w:rPr>
            </w:pPr>
            <w:bookmarkStart w:id="2" w:name="RANGE!A1:F16"/>
            <w:r>
              <w:rPr>
                <w:rFonts w:hint="eastAsia" w:ascii="华文中宋" w:hAnsi="华文中宋" w:eastAsia="华文中宋" w:cs="华文中宋"/>
                <w:kern w:val="2"/>
                <w:sz w:val="32"/>
                <w:szCs w:val="32"/>
                <w:lang w:val="en-US" w:eastAsia="zh-CN" w:bidi="ar"/>
              </w:rPr>
              <w:t>一般公共预算财政拨款基本支出决算表</w:t>
            </w:r>
            <w:bookmarkEnd w:id="2"/>
          </w:p>
        </w:tc>
      </w:tr>
      <w:tr>
        <w:tblPrEx>
          <w:shd w:val="clear" w:color="auto" w:fill="auto"/>
          <w:tblCellMar>
            <w:top w:w="0" w:type="dxa"/>
            <w:left w:w="108" w:type="dxa"/>
            <w:bottom w:w="0" w:type="dxa"/>
            <w:right w:w="108" w:type="dxa"/>
          </w:tblCellMar>
        </w:tblPrEx>
        <w:trPr>
          <w:trHeight w:val="300" w:hRule="atLeast"/>
          <w:jc w:val="center"/>
        </w:trPr>
        <w:tc>
          <w:tcPr>
            <w:tcW w:w="789"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12"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40"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1"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18"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0"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0" w:type="dxa"/>
            <w:gridSpan w:val="2"/>
            <w:shd w:val="clear" w:color="auto" w:fill="auto"/>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公开</w:t>
            </w:r>
            <w:r>
              <w:rPr>
                <w:rFonts w:hint="default" w:ascii="Times New Roman" w:hAnsi="Times New Roman" w:eastAsia="宋体" w:cs="Arial"/>
                <w:color w:val="000000"/>
                <w:kern w:val="2"/>
                <w:sz w:val="20"/>
                <w:szCs w:val="20"/>
                <w:lang w:val="en-US" w:eastAsia="zh-CN" w:bidi="ar"/>
              </w:rPr>
              <w:t>06</w:t>
            </w:r>
            <w:r>
              <w:rPr>
                <w:rFonts w:hint="eastAsia" w:ascii="Times New Roman" w:hAnsi="Times New Roman" w:eastAsia="宋体" w:cs="Arial"/>
                <w:color w:val="000000"/>
                <w:kern w:val="2"/>
                <w:sz w:val="20"/>
                <w:szCs w:val="20"/>
                <w:lang w:val="en-US" w:eastAsia="zh-CN" w:bidi="ar"/>
              </w:rPr>
              <w:t>表</w:t>
            </w:r>
          </w:p>
        </w:tc>
      </w:tr>
      <w:tr>
        <w:tblPrEx>
          <w:shd w:val="clear" w:color="auto" w:fill="auto"/>
          <w:tblCellMar>
            <w:top w:w="0" w:type="dxa"/>
            <w:left w:w="108" w:type="dxa"/>
            <w:bottom w:w="0" w:type="dxa"/>
            <w:right w:w="108" w:type="dxa"/>
          </w:tblCellMar>
        </w:tblPrEx>
        <w:trPr>
          <w:trHeight w:val="300" w:hRule="atLeast"/>
          <w:jc w:val="center"/>
        </w:trPr>
        <w:tc>
          <w:tcPr>
            <w:tcW w:w="8340" w:type="dxa"/>
            <w:gridSpan w:val="5"/>
            <w:tcBorders>
              <w:top w:val="nil"/>
              <w:left w:val="nil"/>
              <w:bottom w:val="single" w:color="auto" w:sz="6" w:space="0"/>
              <w:right w:val="nil"/>
            </w:tcBorders>
            <w:shd w:val="clear" w:color="auto" w:fill="auto"/>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部门：深圳市福田区沙头街道办事处</w:t>
            </w:r>
          </w:p>
        </w:tc>
        <w:tc>
          <w:tcPr>
            <w:tcW w:w="1260" w:type="dxa"/>
            <w:tcBorders>
              <w:bottom w:val="single" w:color="auto" w:sz="6"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tcBorders>
              <w:bottom w:val="single" w:color="auto" w:sz="6"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0" w:type="dxa"/>
            <w:gridSpan w:val="2"/>
            <w:tcBorders>
              <w:top w:val="nil"/>
              <w:left w:val="nil"/>
              <w:bottom w:val="single" w:color="auto" w:sz="6" w:space="0"/>
              <w:right w:val="nil"/>
            </w:tcBorders>
            <w:shd w:val="clear" w:color="auto" w:fill="auto"/>
            <w:tcMar>
              <w:top w:w="15" w:type="dxa"/>
              <w:left w:w="15" w:type="dxa"/>
              <w:right w:w="15" w:type="dxa"/>
            </w:tcMar>
            <w:vAlign w:val="bottom"/>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单位：万元</w:t>
            </w:r>
          </w:p>
        </w:tc>
      </w:tr>
      <w:tr>
        <w:tblPrEx>
          <w:tblCellMar>
            <w:top w:w="0" w:type="dxa"/>
            <w:left w:w="108" w:type="dxa"/>
            <w:bottom w:w="0" w:type="dxa"/>
            <w:right w:w="108" w:type="dxa"/>
          </w:tblCellMar>
        </w:tblPrEx>
        <w:trPr>
          <w:trHeight w:val="308" w:hRule="atLeast"/>
          <w:jc w:val="center"/>
        </w:trPr>
        <w:tc>
          <w:tcPr>
            <w:tcW w:w="534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人员经费</w:t>
            </w:r>
          </w:p>
        </w:tc>
        <w:tc>
          <w:tcPr>
            <w:tcW w:w="8643"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公用经费</w:t>
            </w:r>
          </w:p>
        </w:tc>
      </w:tr>
      <w:tr>
        <w:tblPrEx>
          <w:shd w:val="clear" w:color="auto" w:fill="auto"/>
          <w:tblCellMar>
            <w:top w:w="0" w:type="dxa"/>
            <w:left w:w="108" w:type="dxa"/>
            <w:bottom w:w="0" w:type="dxa"/>
            <w:right w:w="108" w:type="dxa"/>
          </w:tblCellMar>
        </w:tblPrEx>
        <w:trPr>
          <w:trHeight w:val="312" w:hRule="atLeast"/>
          <w:jc w:val="center"/>
        </w:trPr>
        <w:tc>
          <w:tcPr>
            <w:tcW w:w="789"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3312"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1240"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金额</w:t>
            </w:r>
          </w:p>
        </w:tc>
        <w:tc>
          <w:tcPr>
            <w:tcW w:w="781"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2218"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1260"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金额</w:t>
            </w:r>
          </w:p>
        </w:tc>
        <w:tc>
          <w:tcPr>
            <w:tcW w:w="7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2656"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9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金额</w:t>
            </w:r>
          </w:p>
        </w:tc>
      </w:tr>
      <w:tr>
        <w:tblPrEx>
          <w:tblCellMar>
            <w:top w:w="0" w:type="dxa"/>
            <w:left w:w="108" w:type="dxa"/>
            <w:bottom w:w="0" w:type="dxa"/>
            <w:right w:w="108" w:type="dxa"/>
          </w:tblCellMar>
        </w:tblPrEx>
        <w:trPr>
          <w:trHeight w:val="312" w:hRule="atLeast"/>
          <w:jc w:val="center"/>
        </w:trPr>
        <w:tc>
          <w:tcPr>
            <w:tcW w:w="789"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12"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40"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1"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18"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0"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56"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工资福利支出</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4,753.01</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商品和服务支出</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105.57</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其他资本性支出</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30101</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基本工资</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490.79</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30201</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办公费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31001</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房屋建筑物购建</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30102</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津贴补贴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1,125.33</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30202</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印刷费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31002</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办公设备购置</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30103</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奖金</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210.63</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30203</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咨询费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31003</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专用设备购置</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30104</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其他社会保障缴费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53.63</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30204</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手续费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31005</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基础设施建设</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30106</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伙食补助费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30205</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水费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31006</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大型修缮</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30107</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绩效工资</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245.39</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30206</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电费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31007</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信息网络及软件购置更新</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30108</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机关事业单位基本养老保险缴费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1,094.94</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30207</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邮电费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31008</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物资储备</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30109</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职业年金缴费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469.79</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30208</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取暖费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31009</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土地补偿</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30199</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其他工资福利支出</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1,062.50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30209</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物业管理费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31010</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安置补助</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对个人和家庭的补助</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1,394.80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30211</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差旅费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31011</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地上附着物和青苗补偿</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30301</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离休费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30212</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因公出国（境）费用</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31012</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拆迁补偿</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30302</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退休费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659.41</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30213</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维修</w:t>
            </w:r>
            <w:r>
              <w:rPr>
                <w:rFonts w:hint="default" w:ascii="Times New Roman" w:hAnsi="Times New Roman" w:eastAsia="宋体" w:cs="Arial"/>
                <w:color w:val="000000"/>
                <w:kern w:val="2"/>
                <w:sz w:val="22"/>
                <w:szCs w:val="22"/>
                <w:lang w:val="en-US" w:eastAsia="zh-CN" w:bidi="ar"/>
              </w:rPr>
              <w:t>(</w:t>
            </w:r>
            <w:r>
              <w:rPr>
                <w:rFonts w:hint="eastAsia" w:ascii="Times New Roman" w:hAnsi="Times New Roman" w:eastAsia="宋体" w:cs="Arial"/>
                <w:color w:val="000000"/>
                <w:kern w:val="2"/>
                <w:sz w:val="22"/>
                <w:szCs w:val="22"/>
                <w:lang w:val="en-US" w:eastAsia="zh-CN" w:bidi="ar"/>
              </w:rPr>
              <w:t>护</w:t>
            </w:r>
            <w:r>
              <w:rPr>
                <w:rFonts w:hint="default" w:ascii="Times New Roman" w:hAnsi="Times New Roman" w:eastAsia="宋体" w:cs="Arial"/>
                <w:color w:val="000000"/>
                <w:kern w:val="2"/>
                <w:sz w:val="22"/>
                <w:szCs w:val="22"/>
                <w:lang w:val="en-US" w:eastAsia="zh-CN" w:bidi="ar"/>
              </w:rPr>
              <w:t>)</w:t>
            </w:r>
            <w:r>
              <w:rPr>
                <w:rFonts w:hint="eastAsia" w:ascii="Times New Roman" w:hAnsi="Times New Roman" w:eastAsia="宋体" w:cs="Arial"/>
                <w:color w:val="000000"/>
                <w:kern w:val="2"/>
                <w:sz w:val="22"/>
                <w:szCs w:val="22"/>
                <w:lang w:val="en-US" w:eastAsia="zh-CN" w:bidi="ar"/>
              </w:rPr>
              <w:t>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31013</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公务用车购置</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30303</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退职（役）费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30214</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租赁费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31019</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其他交通工具购置</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30304</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抚恤金</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30215</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会议费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31020</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产权参股</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30305</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生活补助</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30216</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培训费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31099</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其他资本性支出</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30306</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救济费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30217</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公务接待费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304</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对企事业单位的补贴</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30307</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医疗费</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30218</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专用材料费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30401</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企业政策性补贴</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30308</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助学金</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30224</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被装购置费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30402</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事业单位补贴</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30309</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奖励金</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44.30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30225</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专用燃料费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30403</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财政贴息</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shd w:val="clear" w:color="auto" w:fill="auto"/>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30310</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生产补贴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30226</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劳务费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30499</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其他对企事业单位的补贴</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30311</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住房公积金</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557.02</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30227</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委托业务费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307</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债务利息支出</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30312</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提租补贴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30228</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工会经费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65.78</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30701</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国内债务付息</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30313</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购房补贴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134.08</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30229</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福利费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0.91</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30707</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国外债务付息</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30314</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采暖补贴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30231</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公务用车运行维护费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38.88</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399</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其他支出</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30315</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物业服务补贴</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30239</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其他交通费用</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39906</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赠与</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30399</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其他对个人和家庭的补助支出</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30240</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税金及附加费用</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r>
      <w:tr>
        <w:tblPrEx>
          <w:tblCellMar>
            <w:top w:w="0" w:type="dxa"/>
            <w:left w:w="108" w:type="dxa"/>
            <w:bottom w:w="0" w:type="dxa"/>
            <w:right w:w="108" w:type="dxa"/>
          </w:tblCellMar>
        </w:tblPrEx>
        <w:trPr>
          <w:trHeight w:val="397" w:hRule="atLeast"/>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331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30299</w:t>
            </w:r>
          </w:p>
        </w:tc>
        <w:tc>
          <w:tcPr>
            <w:tcW w:w="2218"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 xml:space="preserve">  </w:t>
            </w:r>
            <w:r>
              <w:rPr>
                <w:rFonts w:hint="eastAsia" w:ascii="Times New Roman" w:hAnsi="Times New Roman" w:eastAsia="宋体" w:cs="Arial"/>
                <w:color w:val="000000"/>
                <w:kern w:val="2"/>
                <w:sz w:val="22"/>
                <w:szCs w:val="22"/>
                <w:lang w:val="en-US" w:eastAsia="zh-CN" w:bidi="ar"/>
              </w:rPr>
              <w:t>其他商品和服务支出</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default" w:ascii="Times New Roman" w:hAnsi="Times New Roman" w:eastAsia="宋体" w:cs="Arial"/>
                <w:color w:val="000000"/>
                <w:kern w:val="2"/>
                <w:sz w:val="22"/>
                <w:szCs w:val="22"/>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265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r>
      <w:tr>
        <w:tblPrEx>
          <w:tblCellMar>
            <w:top w:w="0" w:type="dxa"/>
            <w:left w:w="108" w:type="dxa"/>
            <w:bottom w:w="0" w:type="dxa"/>
            <w:right w:w="108" w:type="dxa"/>
          </w:tblCellMar>
        </w:tblPrEx>
        <w:trPr>
          <w:trHeight w:val="397" w:hRule="atLeast"/>
          <w:jc w:val="center"/>
        </w:trPr>
        <w:tc>
          <w:tcPr>
            <w:tcW w:w="410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b/>
                <w:bCs w:val="0"/>
                <w:color w:val="000000"/>
                <w:sz w:val="22"/>
                <w:szCs w:val="22"/>
                <w:lang w:val="en-US"/>
              </w:rPr>
            </w:pPr>
            <w:r>
              <w:rPr>
                <w:rFonts w:hint="eastAsia" w:ascii="Times New Roman" w:hAnsi="Times New Roman" w:eastAsia="宋体" w:cs="Arial"/>
                <w:b/>
                <w:bCs w:val="0"/>
                <w:color w:val="000000"/>
                <w:kern w:val="2"/>
                <w:sz w:val="22"/>
                <w:szCs w:val="22"/>
                <w:lang w:val="en-US" w:eastAsia="zh-CN" w:bidi="ar"/>
              </w:rPr>
              <w:t>人员经费合计</w:t>
            </w:r>
          </w:p>
        </w:tc>
        <w:tc>
          <w:tcPr>
            <w:tcW w:w="124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bCs w:val="0"/>
                <w:color w:val="000000"/>
                <w:sz w:val="22"/>
                <w:szCs w:val="22"/>
                <w:lang w:val="en-US"/>
              </w:rPr>
            </w:pPr>
            <w:r>
              <w:rPr>
                <w:rFonts w:hint="default" w:ascii="Times New Roman" w:hAnsi="Times New Roman" w:eastAsia="宋体" w:cs="Arial"/>
                <w:b/>
                <w:bCs w:val="0"/>
                <w:color w:val="000000"/>
                <w:kern w:val="2"/>
                <w:sz w:val="22"/>
                <w:szCs w:val="22"/>
                <w:lang w:val="en-US" w:eastAsia="zh-CN" w:bidi="ar"/>
              </w:rPr>
              <w:t>6,147.81</w:t>
            </w:r>
          </w:p>
        </w:tc>
        <w:tc>
          <w:tcPr>
            <w:tcW w:w="767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Arial"/>
                <w:b/>
                <w:bCs w:val="0"/>
                <w:color w:val="000000"/>
                <w:sz w:val="22"/>
                <w:szCs w:val="22"/>
                <w:lang w:val="en-US"/>
              </w:rPr>
            </w:pPr>
            <w:r>
              <w:rPr>
                <w:rFonts w:hint="eastAsia" w:ascii="Times New Roman" w:hAnsi="Times New Roman" w:eastAsia="宋体" w:cs="Arial"/>
                <w:b/>
                <w:bCs w:val="0"/>
                <w:color w:val="000000"/>
                <w:kern w:val="2"/>
                <w:sz w:val="22"/>
                <w:szCs w:val="22"/>
                <w:lang w:val="en-US" w:eastAsia="zh-CN" w:bidi="ar"/>
              </w:rPr>
              <w:t>公用经费合计</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Arial"/>
                <w:b/>
                <w:bCs w:val="0"/>
                <w:color w:val="000000"/>
                <w:sz w:val="22"/>
                <w:szCs w:val="22"/>
                <w:lang w:val="en-US"/>
              </w:rPr>
            </w:pPr>
            <w:r>
              <w:rPr>
                <w:rFonts w:hint="default" w:ascii="Times New Roman" w:hAnsi="Times New Roman" w:eastAsia="宋体" w:cs="Arial"/>
                <w:b/>
                <w:bCs w:val="0"/>
                <w:color w:val="000000"/>
                <w:kern w:val="2"/>
                <w:sz w:val="22"/>
                <w:szCs w:val="22"/>
                <w:lang w:val="en-US" w:eastAsia="zh-CN" w:bidi="ar"/>
              </w:rPr>
              <w:t>105.57</w:t>
            </w:r>
          </w:p>
        </w:tc>
      </w:tr>
      <w:tr>
        <w:tblPrEx>
          <w:shd w:val="clear" w:color="auto" w:fill="auto"/>
          <w:tblCellMar>
            <w:top w:w="0" w:type="dxa"/>
            <w:left w:w="108" w:type="dxa"/>
            <w:bottom w:w="0" w:type="dxa"/>
            <w:right w:w="108" w:type="dxa"/>
          </w:tblCellMar>
        </w:tblPrEx>
        <w:trPr>
          <w:trHeight w:val="308" w:hRule="atLeast"/>
          <w:jc w:val="center"/>
        </w:trPr>
        <w:tc>
          <w:tcPr>
            <w:tcW w:w="13984" w:type="dxa"/>
            <w:gridSpan w:val="9"/>
            <w:tcBorders>
              <w:top w:val="single" w:color="auto" w:sz="6" w:space="0"/>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注：本表反映部门本年度一般公共预算财政拨款基本支出明细情况。</w:t>
            </w:r>
          </w:p>
        </w:tc>
      </w:tr>
    </w:tbl>
    <w:p>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tbl>
      <w:tblPr>
        <w:tblStyle w:val="6"/>
        <w:tblW w:w="13981" w:type="dxa"/>
        <w:jc w:val="center"/>
        <w:shd w:val="clear" w:color="auto" w:fill="auto"/>
        <w:tblLayout w:type="fixed"/>
        <w:tblCellMar>
          <w:top w:w="0" w:type="dxa"/>
          <w:left w:w="108" w:type="dxa"/>
          <w:bottom w:w="0" w:type="dxa"/>
          <w:right w:w="108" w:type="dxa"/>
        </w:tblCellMar>
      </w:tblPr>
      <w:tblGrid>
        <w:gridCol w:w="1166"/>
        <w:gridCol w:w="1166"/>
        <w:gridCol w:w="1166"/>
        <w:gridCol w:w="1166"/>
        <w:gridCol w:w="1166"/>
        <w:gridCol w:w="1166"/>
        <w:gridCol w:w="1166"/>
        <w:gridCol w:w="1166"/>
        <w:gridCol w:w="1166"/>
        <w:gridCol w:w="1166"/>
        <w:gridCol w:w="1166"/>
        <w:gridCol w:w="1155"/>
      </w:tblGrid>
      <w:tr>
        <w:tblPrEx>
          <w:shd w:val="clear" w:color="auto" w:fill="auto"/>
          <w:tblCellMar>
            <w:top w:w="0" w:type="dxa"/>
            <w:left w:w="108" w:type="dxa"/>
            <w:bottom w:w="0" w:type="dxa"/>
            <w:right w:w="108" w:type="dxa"/>
          </w:tblCellMar>
        </w:tblPrEx>
        <w:trPr>
          <w:trHeight w:val="600" w:hRule="atLeast"/>
          <w:jc w:val="center"/>
        </w:trPr>
        <w:tc>
          <w:tcPr>
            <w:tcW w:w="13981" w:type="dxa"/>
            <w:gridSpan w:val="1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3" w:name="RANGE!A1:L9"/>
            <w:r>
              <w:rPr>
                <w:rFonts w:hint="eastAsia" w:ascii="华文中宋" w:hAnsi="华文中宋" w:eastAsia="华文中宋" w:cs="华文中宋"/>
                <w:kern w:val="2"/>
                <w:sz w:val="32"/>
                <w:szCs w:val="32"/>
                <w:lang w:val="en-US" w:eastAsia="zh-CN" w:bidi="ar"/>
              </w:rPr>
              <w:t>一般公共预算财政拨款“三公”经费支出决算表</w:t>
            </w:r>
            <w:bookmarkEnd w:id="3"/>
          </w:p>
        </w:tc>
      </w:tr>
      <w:tr>
        <w:tblPrEx>
          <w:tblCellMar>
            <w:top w:w="0" w:type="dxa"/>
            <w:left w:w="108" w:type="dxa"/>
            <w:bottom w:w="0" w:type="dxa"/>
            <w:right w:w="108" w:type="dxa"/>
          </w:tblCellMar>
        </w:tblPrEx>
        <w:trPr>
          <w:trHeight w:val="222" w:hRule="atLeast"/>
          <w:jc w:val="center"/>
        </w:trPr>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321"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07</w:t>
            </w:r>
            <w:r>
              <w:rPr>
                <w:rFonts w:hint="eastAsia" w:ascii="Times New Roman" w:hAnsi="Times New Roman" w:eastAsia="宋体" w:cs="宋体"/>
                <w:color w:val="000000"/>
                <w:kern w:val="2"/>
                <w:sz w:val="20"/>
                <w:szCs w:val="20"/>
                <w:lang w:val="en-US" w:eastAsia="zh-CN" w:bidi="ar"/>
              </w:rPr>
              <w:t>表</w:t>
            </w:r>
          </w:p>
        </w:tc>
      </w:tr>
      <w:tr>
        <w:tblPrEx>
          <w:tblCellMar>
            <w:top w:w="0" w:type="dxa"/>
            <w:left w:w="108" w:type="dxa"/>
            <w:bottom w:w="0" w:type="dxa"/>
            <w:right w:w="108" w:type="dxa"/>
          </w:tblCellMar>
        </w:tblPrEx>
        <w:trPr>
          <w:trHeight w:val="300" w:hRule="atLeast"/>
          <w:jc w:val="center"/>
        </w:trPr>
        <w:tc>
          <w:tcPr>
            <w:tcW w:w="6996" w:type="dxa"/>
            <w:gridSpan w:val="6"/>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1166" w:type="dxa"/>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321" w:type="dxa"/>
            <w:gridSpan w:val="2"/>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tblPrEx>
          <w:tblCellMar>
            <w:top w:w="0" w:type="dxa"/>
            <w:left w:w="108" w:type="dxa"/>
            <w:bottom w:w="0" w:type="dxa"/>
            <w:right w:w="108" w:type="dxa"/>
          </w:tblCellMar>
        </w:tblPrEx>
        <w:trPr>
          <w:trHeight w:val="559" w:hRule="atLeast"/>
          <w:jc w:val="center"/>
        </w:trPr>
        <w:tc>
          <w:tcPr>
            <w:tcW w:w="6996" w:type="dxa"/>
            <w:gridSpan w:val="6"/>
            <w:tcBorders>
              <w:top w:val="single" w:color="auto" w:sz="6"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预算数</w:t>
            </w:r>
          </w:p>
        </w:tc>
        <w:tc>
          <w:tcPr>
            <w:tcW w:w="6985" w:type="dxa"/>
            <w:gridSpan w:val="6"/>
            <w:tcBorders>
              <w:top w:val="single" w:color="auto" w:sz="6"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决算数</w:t>
            </w:r>
          </w:p>
        </w:tc>
      </w:tr>
      <w:tr>
        <w:tblPrEx>
          <w:tblCellMar>
            <w:top w:w="0" w:type="dxa"/>
            <w:left w:w="108" w:type="dxa"/>
            <w:bottom w:w="0" w:type="dxa"/>
            <w:right w:w="108" w:type="dxa"/>
          </w:tblCellMar>
        </w:tblPrEx>
        <w:trPr>
          <w:trHeight w:val="600" w:hRule="atLeast"/>
          <w:jc w:val="center"/>
        </w:trPr>
        <w:tc>
          <w:tcPr>
            <w:tcW w:w="1166" w:type="dxa"/>
            <w:vMerge w:val="restart"/>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2"/>
                <w:szCs w:val="22"/>
                <w:lang w:val="en-US"/>
              </w:rPr>
            </w:pPr>
            <w:r>
              <w:rPr>
                <w:rFonts w:hint="eastAsia" w:ascii="Times New Roman" w:hAnsi="Times New Roman" w:eastAsia="宋体" w:cs="宋体"/>
                <w:b/>
                <w:bCs w:val="0"/>
                <w:kern w:val="2"/>
                <w:sz w:val="22"/>
                <w:szCs w:val="22"/>
                <w:lang w:val="en-US" w:eastAsia="zh-CN" w:bidi="ar"/>
              </w:rPr>
              <w:t>合计</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因公出国（境）费</w:t>
            </w:r>
          </w:p>
        </w:tc>
        <w:tc>
          <w:tcPr>
            <w:tcW w:w="349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公务用车购置及运行费</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公务接待费</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2"/>
                <w:szCs w:val="22"/>
                <w:lang w:val="en-US"/>
              </w:rPr>
            </w:pPr>
            <w:r>
              <w:rPr>
                <w:rFonts w:hint="eastAsia" w:ascii="Times New Roman" w:hAnsi="Times New Roman" w:eastAsia="宋体" w:cs="宋体"/>
                <w:b/>
                <w:bCs w:val="0"/>
                <w:kern w:val="2"/>
                <w:sz w:val="22"/>
                <w:szCs w:val="22"/>
                <w:lang w:val="en-US" w:eastAsia="zh-CN" w:bidi="ar"/>
              </w:rPr>
              <w:t>合计</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因公出国（境）费</w:t>
            </w:r>
          </w:p>
        </w:tc>
        <w:tc>
          <w:tcPr>
            <w:tcW w:w="349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公务用车购置及运行费</w:t>
            </w:r>
          </w:p>
        </w:tc>
        <w:tc>
          <w:tcPr>
            <w:tcW w:w="1155" w:type="dxa"/>
            <w:vMerge w:val="restart"/>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公务接待费</w:t>
            </w:r>
          </w:p>
        </w:tc>
      </w:tr>
      <w:tr>
        <w:tblPrEx>
          <w:tblCellMar>
            <w:top w:w="0" w:type="dxa"/>
            <w:left w:w="108" w:type="dxa"/>
            <w:bottom w:w="0" w:type="dxa"/>
            <w:right w:w="108" w:type="dxa"/>
          </w:tblCellMar>
        </w:tblPrEx>
        <w:trPr>
          <w:trHeight w:val="600" w:hRule="atLeast"/>
          <w:jc w:val="center"/>
        </w:trPr>
        <w:tc>
          <w:tcPr>
            <w:tcW w:w="1166" w:type="dxa"/>
            <w:vMerge w:val="continue"/>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小计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购置费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运行费</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小计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购置费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运行费</w:t>
            </w:r>
          </w:p>
        </w:tc>
        <w:tc>
          <w:tcPr>
            <w:tcW w:w="1155" w:type="dxa"/>
            <w:vMerge w:val="continue"/>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559" w:hRule="atLeast"/>
          <w:jc w:val="center"/>
        </w:trPr>
        <w:tc>
          <w:tcPr>
            <w:tcW w:w="1166" w:type="dxa"/>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15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r>
      <w:tr>
        <w:tblPrEx>
          <w:tblCellMar>
            <w:top w:w="0" w:type="dxa"/>
            <w:left w:w="108" w:type="dxa"/>
            <w:bottom w:w="0" w:type="dxa"/>
            <w:right w:w="108" w:type="dxa"/>
          </w:tblCellMar>
        </w:tblPrEx>
        <w:trPr>
          <w:trHeight w:val="855" w:hRule="atLeast"/>
          <w:jc w:val="center"/>
        </w:trPr>
        <w:tc>
          <w:tcPr>
            <w:tcW w:w="1166" w:type="dxa"/>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default" w:ascii="Times New Roman" w:hAnsi="Times New Roman" w:eastAsia="宋体" w:cs="Times New Roman"/>
                <w:b/>
                <w:bCs w:val="0"/>
                <w:kern w:val="2"/>
                <w:sz w:val="22"/>
                <w:szCs w:val="22"/>
                <w:lang w:val="en-US" w:eastAsia="zh-CN" w:bidi="ar"/>
              </w:rPr>
              <w:t xml:space="preserve"> 45.50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45.50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40.50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5.00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b/>
                <w:bCs w:val="0"/>
                <w:color w:val="000000"/>
                <w:kern w:val="2"/>
                <w:sz w:val="22"/>
                <w:szCs w:val="22"/>
                <w:lang w:val="en-US" w:eastAsia="zh-CN" w:bidi="ar"/>
              </w:rPr>
              <w:t xml:space="preserve"> 39.22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0.33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38.89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38.89 </w:t>
            </w:r>
          </w:p>
        </w:tc>
        <w:tc>
          <w:tcPr>
            <w:tcW w:w="1155" w:type="dxa"/>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r>
      <w:tr>
        <w:tblPrEx>
          <w:tblCellMar>
            <w:top w:w="0" w:type="dxa"/>
            <w:left w:w="108" w:type="dxa"/>
            <w:bottom w:w="0" w:type="dxa"/>
            <w:right w:w="108" w:type="dxa"/>
          </w:tblCellMar>
        </w:tblPrEx>
        <w:trPr>
          <w:trHeight w:val="900" w:hRule="atLeast"/>
          <w:jc w:val="center"/>
        </w:trPr>
        <w:tc>
          <w:tcPr>
            <w:tcW w:w="13981" w:type="dxa"/>
            <w:gridSpan w:val="12"/>
            <w:tcBorders>
              <w:top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ind w:right="0"/>
        <w:jc w:val="both"/>
        <w:outlineLvl w:val="0"/>
        <w:rPr>
          <w:rFonts w:hint="eastAsia" w:ascii="仿宋_GB2312" w:eastAsia="仿宋_GB2312" w:cs="仿宋_GB2312"/>
          <w:sz w:val="32"/>
          <w:szCs w:val="32"/>
          <w:lang w:val="en-US"/>
        </w:rPr>
      </w:pPr>
    </w:p>
    <w:tbl>
      <w:tblPr>
        <w:tblStyle w:val="6"/>
        <w:tblpPr w:leftFromText="180" w:rightFromText="180" w:vertAnchor="text" w:horzAnchor="margin" w:tblpXSpec="left" w:tblpY="-425"/>
        <w:tblW w:w="13946" w:type="dxa"/>
        <w:tblInd w:w="0" w:type="dxa"/>
        <w:shd w:val="clear" w:color="auto" w:fill="auto"/>
        <w:tblLayout w:type="fixed"/>
        <w:tblCellMar>
          <w:top w:w="0" w:type="dxa"/>
          <w:left w:w="108" w:type="dxa"/>
          <w:bottom w:w="0" w:type="dxa"/>
          <w:right w:w="108" w:type="dxa"/>
        </w:tblCellMar>
      </w:tblPr>
      <w:tblGrid>
        <w:gridCol w:w="961"/>
        <w:gridCol w:w="1043"/>
        <w:gridCol w:w="2064"/>
        <w:gridCol w:w="775"/>
        <w:gridCol w:w="792"/>
        <w:gridCol w:w="848"/>
        <w:gridCol w:w="1353"/>
        <w:gridCol w:w="1353"/>
        <w:gridCol w:w="806"/>
        <w:gridCol w:w="801"/>
        <w:gridCol w:w="116"/>
        <w:gridCol w:w="1049"/>
        <w:gridCol w:w="1985"/>
      </w:tblGrid>
      <w:tr>
        <w:tblPrEx>
          <w:tblCellMar>
            <w:top w:w="0" w:type="dxa"/>
            <w:left w:w="108" w:type="dxa"/>
            <w:bottom w:w="0" w:type="dxa"/>
            <w:right w:w="108" w:type="dxa"/>
          </w:tblCellMar>
        </w:tblPrEx>
        <w:trPr>
          <w:trHeight w:val="570" w:hRule="atLeast"/>
        </w:trPr>
        <w:tc>
          <w:tcPr>
            <w:tcW w:w="13946" w:type="dxa"/>
            <w:gridSpan w:val="1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4" w:name="RANGE!A1:H16"/>
            <w:r>
              <w:rPr>
                <w:rFonts w:hint="eastAsia" w:ascii="华文中宋" w:hAnsi="华文中宋" w:eastAsia="华文中宋" w:cs="华文中宋"/>
                <w:kern w:val="2"/>
                <w:sz w:val="32"/>
                <w:szCs w:val="32"/>
                <w:lang w:val="en-US" w:eastAsia="zh-CN" w:bidi="ar"/>
              </w:rPr>
              <w:t>政府性基金预算财政拨款收入支出决算表</w:t>
            </w:r>
            <w:bookmarkEnd w:id="4"/>
          </w:p>
        </w:tc>
      </w:tr>
      <w:tr>
        <w:tblPrEx>
          <w:shd w:val="clear" w:color="auto" w:fill="auto"/>
          <w:tblCellMar>
            <w:top w:w="0" w:type="dxa"/>
            <w:left w:w="108" w:type="dxa"/>
            <w:bottom w:w="0" w:type="dxa"/>
            <w:right w:w="108" w:type="dxa"/>
          </w:tblCellMar>
        </w:tblPrEx>
        <w:trPr>
          <w:trHeight w:val="211" w:hRule="atLeast"/>
        </w:trPr>
        <w:tc>
          <w:tcPr>
            <w:tcW w:w="961"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882" w:type="dxa"/>
            <w:gridSpan w:val="3"/>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792" w:type="dxa"/>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201"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159"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917"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034" w:type="dxa"/>
            <w:gridSpan w:val="2"/>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08</w:t>
            </w:r>
            <w:r>
              <w:rPr>
                <w:rFonts w:hint="eastAsia" w:ascii="Times New Roman" w:hAnsi="Times New Roman" w:eastAsia="宋体" w:cs="宋体"/>
                <w:color w:val="000000"/>
                <w:kern w:val="2"/>
                <w:sz w:val="20"/>
                <w:szCs w:val="20"/>
                <w:lang w:val="en-US" w:eastAsia="zh-CN" w:bidi="ar"/>
              </w:rPr>
              <w:t>表</w:t>
            </w:r>
          </w:p>
        </w:tc>
      </w:tr>
      <w:tr>
        <w:tblPrEx>
          <w:shd w:val="clear" w:color="auto" w:fill="auto"/>
          <w:tblCellMar>
            <w:top w:w="0" w:type="dxa"/>
            <w:left w:w="108" w:type="dxa"/>
            <w:bottom w:w="0" w:type="dxa"/>
            <w:right w:w="108" w:type="dxa"/>
          </w:tblCellMar>
        </w:tblPrEx>
        <w:trPr>
          <w:trHeight w:val="285" w:hRule="atLeast"/>
        </w:trPr>
        <w:tc>
          <w:tcPr>
            <w:tcW w:w="7836" w:type="dxa"/>
            <w:gridSpan w:val="7"/>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2159" w:type="dxa"/>
            <w:gridSpan w:val="2"/>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917" w:type="dxa"/>
            <w:gridSpan w:val="2"/>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034" w:type="dxa"/>
            <w:gridSpan w:val="2"/>
            <w:tcBorders>
              <w:top w:val="nil"/>
              <w:left w:val="nil"/>
              <w:bottom w:val="single" w:color="auto" w:sz="6" w:space="0"/>
              <w:right w:val="nil"/>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tblPrEx>
          <w:shd w:val="clear" w:color="auto" w:fill="auto"/>
          <w:tblCellMar>
            <w:top w:w="0" w:type="dxa"/>
            <w:left w:w="108" w:type="dxa"/>
            <w:bottom w:w="0" w:type="dxa"/>
            <w:right w:w="108" w:type="dxa"/>
          </w:tblCellMar>
        </w:tblPrEx>
        <w:trPr>
          <w:trHeight w:val="385"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241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年初结转和结余</w:t>
            </w:r>
          </w:p>
        </w:tc>
        <w:tc>
          <w:tcPr>
            <w:tcW w:w="135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本年收入</w:t>
            </w:r>
          </w:p>
        </w:tc>
        <w:tc>
          <w:tcPr>
            <w:tcW w:w="4125"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w:t>
            </w:r>
          </w:p>
        </w:tc>
        <w:tc>
          <w:tcPr>
            <w:tcW w:w="1985"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年末结转和结余</w:t>
            </w:r>
          </w:p>
        </w:tc>
      </w:tr>
      <w:tr>
        <w:tblPrEx>
          <w:shd w:val="clear" w:color="auto" w:fill="auto"/>
          <w:tblCellMar>
            <w:top w:w="0" w:type="dxa"/>
            <w:left w:w="108" w:type="dxa"/>
            <w:bottom w:w="0" w:type="dxa"/>
            <w:right w:w="108" w:type="dxa"/>
          </w:tblCellMar>
        </w:tblPrEx>
        <w:trPr>
          <w:trHeight w:val="323" w:hRule="atLeast"/>
        </w:trPr>
        <w:tc>
          <w:tcPr>
            <w:tcW w:w="2004"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20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小计</w:t>
            </w:r>
          </w:p>
        </w:tc>
        <w:tc>
          <w:tcPr>
            <w:tcW w:w="1607"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r>
              <w:rPr>
                <w:rFonts w:hint="default" w:ascii="Times New Roman" w:hAnsi="Times New Roman" w:eastAsia="宋体" w:cs="Times New Roman"/>
                <w:kern w:val="2"/>
                <w:sz w:val="21"/>
                <w:szCs w:val="20"/>
                <w:lang w:val="en-US" w:eastAsia="zh-CN" w:bidi="ar"/>
              </w:rPr>
              <w:t xml:space="preserve">  </w:t>
            </w:r>
          </w:p>
        </w:tc>
        <w:tc>
          <w:tcPr>
            <w:tcW w:w="116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trHeight w:val="323" w:hRule="atLeast"/>
        </w:trPr>
        <w:tc>
          <w:tcPr>
            <w:tcW w:w="200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7"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trHeight w:val="323" w:hRule="atLeast"/>
        </w:trPr>
        <w:tc>
          <w:tcPr>
            <w:tcW w:w="200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7"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shd w:val="clear" w:color="auto" w:fill="auto"/>
          <w:tblCellMar>
            <w:top w:w="0" w:type="dxa"/>
            <w:left w:w="108" w:type="dxa"/>
            <w:bottom w:w="0" w:type="dxa"/>
            <w:right w:w="108" w:type="dxa"/>
          </w:tblCellMar>
        </w:tblPrEx>
        <w:trPr>
          <w:trHeight w:val="323"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r>
      <w:tr>
        <w:tblPrEx>
          <w:shd w:val="clear" w:color="auto" w:fill="auto"/>
          <w:tblCellMar>
            <w:top w:w="0" w:type="dxa"/>
            <w:left w:w="108" w:type="dxa"/>
            <w:bottom w:w="0" w:type="dxa"/>
            <w:right w:w="108" w:type="dxa"/>
          </w:tblCellMar>
        </w:tblPrEx>
        <w:trPr>
          <w:trHeight w:val="656"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Times New Roman" w:hAnsi="Times New Roman" w:eastAsia="宋体" w:cs="宋体"/>
                <w:b/>
                <w:bCs w:val="0"/>
                <w:kern w:val="2"/>
                <w:sz w:val="21"/>
                <w:szCs w:val="20"/>
                <w:lang w:val="en-US" w:eastAsia="zh-CN" w:bidi="ar"/>
              </w:rPr>
              <w:t>合计</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4"/>
                <w:szCs w:val="24"/>
                <w:lang w:val="en-US"/>
              </w:rPr>
            </w:pPr>
            <w:r>
              <w:rPr>
                <w:rFonts w:hint="default" w:ascii="Times New Roman" w:hAnsi="Times New Roman" w:eastAsia="宋体" w:cs="Times New Roman"/>
                <w:b/>
                <w:bCs w:val="0"/>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647.66</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647.66</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color w:val="000000"/>
                <w:sz w:val="22"/>
                <w:szCs w:val="22"/>
                <w:lang w:val="en-US"/>
              </w:rPr>
            </w:pPr>
            <w:r>
              <w:rPr>
                <w:rFonts w:hint="default" w:ascii="Times New Roman" w:hAnsi="Times New Roman" w:eastAsia="宋体" w:cs="Times New Roman"/>
                <w:b/>
                <w:color w:val="000000"/>
                <w:kern w:val="2"/>
                <w:sz w:val="22"/>
                <w:szCs w:val="22"/>
                <w:lang w:val="en-US" w:eastAsia="zh-CN" w:bidi="ar"/>
              </w:rPr>
              <w:t>647.66</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4"/>
                <w:szCs w:val="24"/>
                <w:lang w:val="en-US"/>
              </w:rPr>
            </w:pPr>
            <w:r>
              <w:rPr>
                <w:rFonts w:hint="default" w:ascii="Times New Roman" w:hAnsi="Times New Roman" w:eastAsia="宋体" w:cs="Times New Roman"/>
                <w:b/>
                <w:bCs w:val="0"/>
                <w:kern w:val="2"/>
                <w:sz w:val="21"/>
                <w:szCs w:val="20"/>
                <w:lang w:val="en-US" w:eastAsia="zh-CN" w:bidi="ar"/>
              </w:rPr>
              <w:t>0.00</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彩票公益金及对应专项债务收入安排的支出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2296002</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用于社会福利的彩票公益金支出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647.66</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0.00</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tblPrEx>
          <w:shd w:val="clear" w:color="auto" w:fill="auto"/>
          <w:tblCellMar>
            <w:top w:w="0" w:type="dxa"/>
            <w:left w:w="108" w:type="dxa"/>
            <w:bottom w:w="0" w:type="dxa"/>
            <w:right w:w="108" w:type="dxa"/>
          </w:tblCellMar>
        </w:tblPrEx>
        <w:trPr>
          <w:trHeight w:val="613" w:hRule="atLeast"/>
        </w:trPr>
        <w:tc>
          <w:tcPr>
            <w:tcW w:w="13946" w:type="dxa"/>
            <w:gridSpan w:val="13"/>
            <w:tcBorders>
              <w:top w:val="single" w:color="auto" w:sz="6" w:space="0"/>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sz w:val="20"/>
                <w:szCs w:val="20"/>
                <w:lang w:val="en-US"/>
              </w:rPr>
            </w:pPr>
            <w:r>
              <w:rPr>
                <w:rFonts w:hint="eastAsia" w:ascii="Times New Roman" w:hAnsi="Times New Roman" w:eastAsia="宋体" w:cs="宋体"/>
                <w:kern w:val="2"/>
                <w:sz w:val="20"/>
                <w:szCs w:val="20"/>
                <w:lang w:val="en-US" w:eastAsia="zh-CN"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sz w:val="20"/>
                <w:szCs w:val="20"/>
                <w:lang w:val="en-US"/>
              </w:rPr>
            </w:pPr>
          </w:p>
        </w:tc>
      </w:tr>
    </w:tbl>
    <w:p>
      <w:pPr>
        <w:rPr>
          <w:rFonts w:hint="eastAsia" w:ascii="仿宋_GB2312" w:hAnsi="Times New Roman" w:eastAsia="仿宋_GB2312" w:cs="Times New Roman"/>
          <w:kern w:val="2"/>
          <w:sz w:val="32"/>
          <w:szCs w:val="32"/>
          <w:lang w:val="en-US" w:eastAsia="zh-CN" w:bidi="ar"/>
        </w:rPr>
        <w:sectPr>
          <w:pgSz w:w="16838" w:h="11906" w:orient="landscape"/>
          <w:pgMar w:top="1800" w:right="1440" w:bottom="1800" w:left="1440" w:header="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三、</w:t>
      </w:r>
      <w:r>
        <w:rPr>
          <w:rFonts w:hint="eastAsia" w:ascii="黑体" w:hAnsi="宋体" w:eastAsia="黑体" w:cs="宋体"/>
          <w:bCs/>
          <w:color w:val="000000"/>
          <w:kern w:val="2"/>
          <w:sz w:val="32"/>
          <w:szCs w:val="32"/>
          <w:lang w:val="en-US" w:eastAsia="zh-CN" w:bidi="ar"/>
        </w:rPr>
        <w:t>沙头街道办事处</w:t>
      </w:r>
      <w:r>
        <w:rPr>
          <w:rFonts w:hint="eastAsia" w:ascii="黑体" w:hAnsi="宋体" w:eastAsia="黑体" w:cs="宋体"/>
          <w:kern w:val="2"/>
          <w:sz w:val="32"/>
          <w:szCs w:val="32"/>
          <w:lang w:val="en-US" w:eastAsia="zh-CN" w:bidi="ar"/>
        </w:rPr>
        <w:t>2017年度部门决算情况说明</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hAnsi="宋体" w:eastAsia="楷体_GB2312" w:cs="宋体"/>
          <w:b/>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（一）关于沙头街道办2017年度收入支出决算总体情况说明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lang w:val="en-US"/>
        </w:rPr>
      </w:pPr>
      <w:r>
        <w:rPr>
          <w:rFonts w:hint="eastAsia" w:ascii="仿宋" w:hAnsi="仿宋" w:eastAsia="仿宋" w:cs="仿宋_GB2312"/>
          <w:color w:val="000000"/>
          <w:kern w:val="2"/>
          <w:sz w:val="32"/>
          <w:szCs w:val="32"/>
          <w:lang w:val="en-US" w:eastAsia="zh-CN" w:bidi="ar"/>
        </w:rPr>
        <w:t>2017年度收入总计27,758.36万元（含以前年度结转和结余资金828.44万元），支出总计27,758.36万元（含年末结转和结余资金904.04万元），</w:t>
      </w:r>
      <w:r>
        <w:rPr>
          <w:rFonts w:hint="eastAsia" w:ascii="仿宋" w:hAnsi="仿宋" w:eastAsia="仿宋" w:cs="仿宋_GB2312"/>
          <w:kern w:val="2"/>
          <w:sz w:val="32"/>
          <w:szCs w:val="32"/>
          <w:lang w:val="en-US" w:eastAsia="zh-CN" w:bidi="ar"/>
        </w:rPr>
        <w:t>该数据已包括下属单位</w:t>
      </w:r>
      <w:r>
        <w:rPr>
          <w:rFonts w:hint="eastAsia" w:ascii="仿宋" w:hAnsi="仿宋" w:eastAsia="仿宋" w:cs="仿宋_GB2312"/>
          <w:color w:val="000000"/>
          <w:kern w:val="2"/>
          <w:sz w:val="32"/>
          <w:szCs w:val="32"/>
          <w:lang w:val="en-US" w:eastAsia="zh-CN" w:bidi="ar"/>
        </w:rPr>
        <w:t>。与2016年相比，收、支总计各增加7,612.38万元。</w:t>
      </w:r>
      <w:r>
        <w:rPr>
          <w:rFonts w:hint="eastAsia" w:ascii="仿宋" w:hAnsi="仿宋" w:eastAsia="仿宋" w:cs="仿宋_GB2312"/>
          <w:kern w:val="2"/>
          <w:sz w:val="32"/>
          <w:szCs w:val="32"/>
          <w:lang w:val="en-US" w:eastAsia="zh-CN" w:bidi="ar"/>
        </w:rPr>
        <w:t>主要原因：一是用于辖区市容环境卫生项目、辖区特殊群体慰问等民政专项事业经费增加；二是增人增资和公用经费增加。</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（二）关于沙头街道办2017年度收入决算情况说明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全年收入合计26,929.92万元，其中：财政拨款收入26,925.91万元，占比99.99％；其他收入4.02万元，占比0.01％。</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（三）关于沙头街道办2017年度支出决算情况说明</w:t>
      </w:r>
    </w:p>
    <w:p>
      <w:pPr>
        <w:keepNext w:val="0"/>
        <w:keepLines w:val="0"/>
        <w:widowControl w:val="0"/>
        <w:suppressLineNumbers w:val="0"/>
        <w:spacing w:before="0" w:beforeAutospacing="0" w:after="0" w:afterAutospacing="0" w:line="560" w:lineRule="exact"/>
        <w:ind w:left="0" w:right="0" w:firstLine="672" w:firstLineChars="21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全年支出合计26,854.32万元，其中：基本支出6253.38万元，占比23.29%；项目支出20,600.94万元，占比76.71%。</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（四）关于沙头街道办2017年度财政拨款收入支出决算总体情况说明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lang w:val="en-US"/>
        </w:rPr>
      </w:pPr>
      <w:r>
        <w:rPr>
          <w:rFonts w:hint="eastAsia" w:ascii="仿宋" w:hAnsi="仿宋" w:eastAsia="仿宋" w:cs="仿宋_GB2312"/>
          <w:color w:val="000000"/>
          <w:kern w:val="2"/>
          <w:sz w:val="32"/>
          <w:szCs w:val="32"/>
          <w:lang w:val="en-US" w:eastAsia="zh-CN" w:bidi="ar"/>
        </w:rPr>
        <w:t>2017年度财政拨款收入总计27,644.10万元（含以前年度结转和结余资金718.20万元），财政拨款支出总计27,644.10万元（含年末结转和结余资金798.04万元）；与2016年相比，财政拨款收、支总计各增加</w:t>
      </w:r>
      <w:r>
        <w:rPr>
          <w:rFonts w:hint="eastAsia" w:ascii="仿宋" w:hAnsi="仿宋" w:eastAsia="仿宋" w:cs="仿宋_GB2312"/>
          <w:kern w:val="2"/>
          <w:sz w:val="32"/>
          <w:szCs w:val="32"/>
          <w:lang w:val="en-US" w:eastAsia="zh-CN" w:bidi="ar"/>
        </w:rPr>
        <w:t>7,613.93</w:t>
      </w:r>
      <w:r>
        <w:rPr>
          <w:rFonts w:hint="eastAsia" w:ascii="仿宋" w:hAnsi="仿宋" w:eastAsia="仿宋" w:cs="仿宋_GB2312"/>
          <w:color w:val="000000"/>
          <w:kern w:val="2"/>
          <w:sz w:val="32"/>
          <w:szCs w:val="32"/>
          <w:lang w:val="en-US" w:eastAsia="zh-CN" w:bidi="ar"/>
        </w:rPr>
        <w:t>万元，</w:t>
      </w:r>
      <w:r>
        <w:rPr>
          <w:rFonts w:hint="eastAsia" w:ascii="仿宋" w:hAnsi="仿宋" w:eastAsia="仿宋" w:cs="仿宋_GB2312"/>
          <w:kern w:val="2"/>
          <w:sz w:val="32"/>
          <w:szCs w:val="32"/>
          <w:lang w:val="en-US" w:eastAsia="zh-CN" w:bidi="ar"/>
        </w:rPr>
        <w:t>主要原因：一是用于市政道路清扫保洁、城中村清扫保洁经费增加；二是辖区电气安全检测、安全巡查员经费、辖区特殊群体慰问等民政专项事业经费增加；三是人员经费和公用经费增加。</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sz w:val="32"/>
          <w:szCs w:val="32"/>
          <w:lang w:val="en-US"/>
        </w:rPr>
      </w:pPr>
      <w:r>
        <w:rPr>
          <w:rFonts w:hint="eastAsia" w:ascii="楷体_GB2312" w:hAnsi="楷体" w:eastAsia="楷体_GB2312" w:cs="楷体_GB2312"/>
          <w:b/>
          <w:bCs w:val="0"/>
          <w:color w:val="000000"/>
          <w:kern w:val="2"/>
          <w:sz w:val="32"/>
          <w:szCs w:val="32"/>
          <w:lang w:val="en-US" w:eastAsia="zh-CN" w:bidi="ar"/>
        </w:rPr>
        <w:t>（五）关于沙头街道办2017年度一般公共预算财政拨款支出决算情况说明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lang w:val="en-US"/>
        </w:rPr>
      </w:pPr>
      <w:r>
        <w:rPr>
          <w:rFonts w:hint="eastAsia" w:ascii="仿宋" w:hAnsi="仿宋" w:eastAsia="仿宋" w:cs="仿宋_GB2312"/>
          <w:color w:val="000000"/>
          <w:kern w:val="2"/>
          <w:sz w:val="32"/>
          <w:szCs w:val="32"/>
          <w:lang w:val="en-US" w:eastAsia="zh-CN" w:bidi="ar"/>
        </w:rPr>
        <w:t>2017年度一般公共预算财政拨款支出年初预算</w:t>
      </w:r>
      <w:r>
        <w:rPr>
          <w:rFonts w:hint="eastAsia" w:ascii="仿宋" w:hAnsi="仿宋" w:eastAsia="仿宋" w:cs="仿宋_GB2312"/>
          <w:kern w:val="2"/>
          <w:sz w:val="32"/>
          <w:szCs w:val="32"/>
          <w:lang w:val="en-US" w:eastAsia="zh-CN" w:bidi="ar"/>
        </w:rPr>
        <w:t>20,767.35万元，</w:t>
      </w:r>
      <w:r>
        <w:rPr>
          <w:rFonts w:hint="eastAsia" w:ascii="仿宋" w:hAnsi="仿宋" w:eastAsia="仿宋" w:cs="仿宋_GB2312"/>
          <w:color w:val="000000"/>
          <w:kern w:val="2"/>
          <w:sz w:val="32"/>
          <w:szCs w:val="32"/>
          <w:lang w:val="en-US" w:eastAsia="zh-CN" w:bidi="ar"/>
        </w:rPr>
        <w:t>支出决算26,198.40万元，完成年初预算</w:t>
      </w:r>
      <w:r>
        <w:rPr>
          <w:rFonts w:hint="eastAsia" w:ascii="仿宋" w:hAnsi="仿宋" w:eastAsia="仿宋" w:cs="仿宋_GB2312"/>
          <w:kern w:val="2"/>
          <w:sz w:val="32"/>
          <w:szCs w:val="32"/>
          <w:lang w:val="en-US" w:eastAsia="zh-CN" w:bidi="ar"/>
        </w:rPr>
        <w:t>的126.15%。决算数大于预算数的主要原因：一是年中追加社区定员增资缺口及退休定员慰问金；二是中央、省下达就业补助资金；三是财政下达财政管理绩效考核奖励资金用于”民生微实事”项目。</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（六）关于沙头街道办2017年度一般公共预算财政拨款基本支出决算情况说明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2017年度一般公共预算财政拨款基本支出6,147.81万元。其中：人员经费6,147.81万元（主要为在职人员及离退休人员经费），包括工资福利支出等；公用经费105.57万元。</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（七）关于沙头街道办2017年度一般公共预算财政拨款“三公”经费支出决算情况说明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2017年财政拨款开支的“三公”经费支出决算为39.22万元，较支出预算45.5万元减少了6.28万元，</w:t>
      </w:r>
      <w:r>
        <w:rPr>
          <w:rFonts w:hint="eastAsia" w:ascii="仿宋" w:hAnsi="仿宋" w:eastAsia="仿宋" w:cs="仿宋_GB2312"/>
          <w:kern w:val="2"/>
          <w:sz w:val="32"/>
          <w:szCs w:val="32"/>
          <w:lang w:val="en-US" w:eastAsia="zh-CN" w:bidi="ar"/>
        </w:rPr>
        <w:t>与20</w:t>
      </w:r>
      <w:r>
        <w:rPr>
          <w:rFonts w:hint="eastAsia" w:ascii="仿宋" w:hAnsi="仿宋" w:eastAsia="仿宋" w:cs="仿宋_GB2312"/>
          <w:color w:val="000000"/>
          <w:kern w:val="2"/>
          <w:sz w:val="32"/>
          <w:szCs w:val="32"/>
          <w:lang w:val="en-US" w:eastAsia="zh-CN" w:bidi="ar"/>
        </w:rPr>
        <w:t>16年决算数相比略为增加了2.35万元，增加原因是车辆燃油费价格波动造成略为增加。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r>
        <w:rPr>
          <w:rFonts w:hint="eastAsia" w:ascii="仿宋" w:hAnsi="仿宋" w:eastAsia="仿宋" w:cs="仿宋_GB2312"/>
          <w:color w:val="000000"/>
          <w:kern w:val="2"/>
          <w:sz w:val="32"/>
          <w:szCs w:val="32"/>
          <w:lang w:val="en-US" w:eastAsia="zh-CN" w:bidi="ar"/>
        </w:rPr>
        <w:t>1.2017年因公出国（境）费支出决算为0.33万元，年初预算为0万元，</w:t>
      </w:r>
      <w:r>
        <w:rPr>
          <w:rFonts w:hint="eastAsia" w:ascii="仿宋" w:hAnsi="仿宋" w:eastAsia="仿宋" w:cs="仿宋_GB2312"/>
          <w:kern w:val="2"/>
          <w:sz w:val="32"/>
          <w:szCs w:val="32"/>
          <w:lang w:val="en-US" w:eastAsia="zh-CN" w:bidi="ar"/>
        </w:rPr>
        <w:t>原因为从2014年开始，为进一步规范因</w:t>
      </w:r>
      <w:r>
        <w:rPr>
          <w:rFonts w:hint="eastAsia" w:ascii="仿宋_GB2312" w:hAnsi="仿宋" w:eastAsia="仿宋_GB2312" w:cs="仿宋_GB2312"/>
          <w:kern w:val="2"/>
          <w:sz w:val="32"/>
          <w:szCs w:val="32"/>
          <w:lang w:val="en-US" w:eastAsia="zh-CN" w:bidi="ar"/>
        </w:rPr>
        <w:t>公出国(境)费管理，我区因公出国（境）费实行零基预算，在实际执行中根据计划据实调配，因此，2017年支出预算数仅包括公务用车购置及运行费、公务接待费，因公出国（境）费预算数为0。</w:t>
      </w:r>
      <w:r>
        <w:rPr>
          <w:rFonts w:hint="eastAsia" w:ascii="仿宋_GB2312" w:hAnsi="仿宋" w:eastAsia="仿宋_GB2312" w:cs="仿宋_GB2312"/>
          <w:color w:val="000000"/>
          <w:kern w:val="2"/>
          <w:sz w:val="32"/>
          <w:szCs w:val="32"/>
          <w:lang w:val="en-US" w:eastAsia="zh-CN" w:bidi="ar"/>
        </w:rPr>
        <w:t>因公出国（境）费与2016年决算数相比减少了4.31万元，</w:t>
      </w:r>
      <w:r>
        <w:rPr>
          <w:rFonts w:hint="eastAsia" w:ascii="仿宋_GB2312" w:hAnsi="仿宋" w:eastAsia="仿宋_GB2312" w:cs="仿宋_GB2312"/>
          <w:kern w:val="2"/>
          <w:sz w:val="32"/>
          <w:szCs w:val="32"/>
          <w:lang w:val="en-US" w:eastAsia="zh-CN" w:bidi="ar"/>
        </w:rPr>
        <w:t>全年使用财政拨款安排出国2次，7人次。开支内容用于赴香港参加“乡情联谊活动”工作支出。</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2.2017年度公务用车购置及运行费支出决算为38.89万元，均为公务用车运行维护费支出；完成年初预算40.5万元的96.82%，与2016年决算数相比略为增加6.66万元，增加原因为车辆燃油费价格波动,及车辆维修费略为增加。我单位仍继续将公务用车改革落到实处，严格压缩运行费用支出。2017年我单位公务用车购置数为0,保有量</w:t>
      </w:r>
      <w:r>
        <w:rPr>
          <w:rFonts w:hint="eastAsia" w:ascii="仿宋_GB2312" w:hAnsi="仿宋" w:eastAsia="仿宋_GB2312" w:cs="仿宋_GB2312"/>
          <w:kern w:val="2"/>
          <w:sz w:val="32"/>
          <w:szCs w:val="32"/>
          <w:lang w:val="en-US" w:eastAsia="zh-CN" w:bidi="ar"/>
        </w:rPr>
        <w:t>12</w:t>
      </w:r>
      <w:r>
        <w:rPr>
          <w:rFonts w:hint="eastAsia" w:ascii="仿宋_GB2312" w:hAnsi="仿宋" w:eastAsia="仿宋_GB2312" w:cs="仿宋_GB2312"/>
          <w:color w:val="000000"/>
          <w:kern w:val="2"/>
          <w:sz w:val="32"/>
          <w:szCs w:val="32"/>
          <w:lang w:val="en-US" w:eastAsia="zh-CN" w:bidi="ar"/>
        </w:rPr>
        <w:t>台。</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3.2017年度公务接待费支出决算为0万元，年初预算为5万元，与2016年决算数相比略为减少1万元，原因为我单位严格贯彻中央八项规定</w:t>
      </w:r>
      <w:bookmarkStart w:id="5" w:name="_GoBack"/>
      <w:bookmarkEnd w:id="5"/>
      <w:r>
        <w:rPr>
          <w:rFonts w:hint="eastAsia" w:ascii="仿宋_GB2312" w:hAnsi="仿宋" w:eastAsia="仿宋_GB2312" w:cs="仿宋_GB2312"/>
          <w:color w:val="000000"/>
          <w:kern w:val="2"/>
          <w:sz w:val="32"/>
          <w:szCs w:val="32"/>
          <w:lang w:val="en-US" w:eastAsia="zh-CN" w:bidi="ar"/>
        </w:rPr>
        <w:t>精神和厉行节约要求，从严从紧控制公务接待支出。</w:t>
      </w:r>
    </w:p>
    <w:p>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（八）关于沙头街道办2017年度政府性基金预算财政拨款收入支出决算情况说明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color w:val="000000"/>
          <w:kern w:val="2"/>
          <w:sz w:val="32"/>
          <w:szCs w:val="32"/>
          <w:lang w:val="en-US" w:eastAsia="zh-CN" w:bidi="ar"/>
        </w:rPr>
        <w:t>2017年度政府性基金预算财政拨款收入总计647.66万元，政府性基金预算财政拨款支出总计647.66万元。</w:t>
      </w:r>
      <w:r>
        <w:rPr>
          <w:rFonts w:hint="eastAsia" w:ascii="仿宋" w:hAnsi="仿宋" w:eastAsia="仿宋" w:cs="仿宋_GB2312"/>
          <w:color w:val="000000"/>
          <w:kern w:val="2"/>
          <w:sz w:val="32"/>
          <w:szCs w:val="32"/>
          <w:lang w:val="en-US" w:eastAsia="zh-CN" w:bidi="ar"/>
        </w:rPr>
        <w:t>主要</w:t>
      </w:r>
      <w:r>
        <w:rPr>
          <w:rFonts w:hint="eastAsia" w:ascii="仿宋_GB2312" w:hAnsi="仿宋" w:eastAsia="仿宋_GB2312" w:cs="仿宋_GB2312"/>
          <w:kern w:val="2"/>
          <w:sz w:val="32"/>
          <w:szCs w:val="32"/>
          <w:lang w:val="en-US" w:eastAsia="zh-CN" w:bidi="ar"/>
        </w:rPr>
        <w:t>是各项福彩公益金647.66万元（含星光老人之家后续管理经费、社区建设示范点经费、居家养老服务经费、抚恤定补医疗保险经费、社区服务中心项目经费、幸福老人计划项目经费）。</w:t>
      </w:r>
    </w:p>
    <w:p>
      <w:pPr>
        <w:keepNext w:val="0"/>
        <w:keepLines w:val="0"/>
        <w:widowControl w:val="0"/>
        <w:suppressLineNumbers w:val="0"/>
        <w:spacing w:before="0" w:beforeAutospacing="0" w:after="0" w:afterAutospacing="0"/>
        <w:ind w:left="0" w:right="0" w:firstLine="643" w:firstLineChars="200"/>
        <w:jc w:val="both"/>
        <w:rPr>
          <w:rFonts w:hint="eastAsia" w:ascii="楷体_GB2312" w:hAnsi="宋体" w:eastAsia="楷体_GB2312" w:cs="宋体"/>
          <w:b/>
          <w:bCs w:val="0"/>
          <w:sz w:val="32"/>
          <w:szCs w:val="32"/>
          <w:lang w:val="en-US"/>
        </w:rPr>
      </w:pPr>
      <w:r>
        <w:rPr>
          <w:rFonts w:hint="eastAsia" w:ascii="楷体_GB2312" w:hAnsi="宋体" w:eastAsia="楷体_GB2312" w:cs="宋体"/>
          <w:b/>
          <w:bCs w:val="0"/>
          <w:kern w:val="2"/>
          <w:sz w:val="32"/>
          <w:szCs w:val="32"/>
          <w:lang w:val="en-US" w:eastAsia="zh-CN" w:bidi="ar"/>
        </w:rPr>
        <w:t>（九）其他重要事项情况说明</w:t>
      </w:r>
    </w:p>
    <w:p>
      <w:pPr>
        <w:keepNext w:val="0"/>
        <w:keepLines w:val="0"/>
        <w:widowControl w:val="0"/>
        <w:suppressLineNumbers w:val="0"/>
        <w:spacing w:before="0" w:beforeAutospacing="0" w:after="0" w:afterAutospacing="0"/>
        <w:ind w:left="0" w:right="0" w:firstLine="803" w:firstLineChars="250"/>
        <w:jc w:val="both"/>
        <w:rPr>
          <w:rFonts w:hint="eastAsia" w:ascii="仿宋_GB2312" w:hAnsi="宋体" w:eastAsia="仿宋_GB2312" w:cs="宋体"/>
          <w:b/>
          <w:bCs w:val="0"/>
          <w:sz w:val="32"/>
          <w:szCs w:val="32"/>
          <w:lang w:val="en-US"/>
        </w:rPr>
      </w:pPr>
      <w:r>
        <w:rPr>
          <w:rFonts w:hint="eastAsia" w:ascii="仿宋_GB2312" w:hAnsi="Times New Roman" w:eastAsia="仿宋_GB2312" w:cs="仿宋_GB2312"/>
          <w:b/>
          <w:bCs w:val="0"/>
          <w:kern w:val="2"/>
          <w:sz w:val="32"/>
          <w:szCs w:val="32"/>
          <w:lang w:val="en-US" w:eastAsia="zh-CN" w:bidi="ar"/>
        </w:rPr>
        <w:t>1.</w:t>
      </w:r>
      <w:r>
        <w:rPr>
          <w:rFonts w:hint="eastAsia" w:ascii="仿宋_GB2312" w:hAnsi="宋体" w:eastAsia="仿宋_GB2312" w:cs="宋体"/>
          <w:b/>
          <w:bCs w:val="0"/>
          <w:kern w:val="2"/>
          <w:sz w:val="32"/>
          <w:szCs w:val="32"/>
          <w:lang w:val="en-US" w:eastAsia="zh-CN" w:bidi="ar"/>
        </w:rPr>
        <w:t>机关运行经费支出情况说明。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2017年度,沙头街道办机关运行经费支出为224.64万元。与2016年决算数同口径减少139.12万元，主要原因是认真贯彻执行中央八项规定精神，厉行节约，压缩经费支出。2017年度机关运行经费具体明细如下：</w:t>
      </w:r>
    </w:p>
    <w:tbl>
      <w:tblPr>
        <w:tblStyle w:val="6"/>
        <w:tblW w:w="8460" w:type="dxa"/>
        <w:tblInd w:w="0" w:type="dxa"/>
        <w:shd w:val="clear" w:color="auto" w:fill="auto"/>
        <w:tblLayout w:type="fixed"/>
        <w:tblCellMar>
          <w:top w:w="0" w:type="dxa"/>
          <w:left w:w="108" w:type="dxa"/>
          <w:bottom w:w="0" w:type="dxa"/>
          <w:right w:w="108" w:type="dxa"/>
        </w:tblCellMar>
      </w:tblPr>
      <w:tblGrid>
        <w:gridCol w:w="639"/>
        <w:gridCol w:w="1347"/>
        <w:gridCol w:w="1830"/>
        <w:gridCol w:w="639"/>
        <w:gridCol w:w="2175"/>
        <w:gridCol w:w="1830"/>
      </w:tblGrid>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序号</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项目</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金额（万元）</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序号</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项目</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金额（万元）</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办公费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17.76</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日常维修费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12.53</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印刷费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0.96</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会议费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0.00</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水费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4.01</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专用材料费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0.00</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电费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50.62</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福利费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0.00</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邮电费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20.77</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公务用车运行维护费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38.89</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取暖费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0.00</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一般设备购置费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0.55</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物业管理费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77.26</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其他费用</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1.29</w:t>
            </w:r>
          </w:p>
        </w:tc>
      </w:tr>
      <w:tr>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差旅费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r>
              <w:rPr>
                <w:rFonts w:hint="eastAsia" w:ascii="宋体" w:hAnsi="宋体" w:eastAsia="宋体" w:cs="宋体 . . 瑵ě瑵 ."/>
                <w:color w:val="000000"/>
                <w:kern w:val="2"/>
                <w:sz w:val="21"/>
                <w:szCs w:val="21"/>
                <w:lang w:val="en-US" w:eastAsia="zh-CN" w:bidi="ar"/>
              </w:rPr>
              <w:t>0.00</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 . 瑵ě瑵 ."/>
                <w:color w:val="000000"/>
                <w:szCs w:val="21"/>
                <w:lang w:val="en-US"/>
              </w:rPr>
            </w:pPr>
          </w:p>
        </w:tc>
      </w:tr>
      <w:tr>
        <w:tblPrEx>
          <w:tblCellMar>
            <w:top w:w="0" w:type="dxa"/>
            <w:left w:w="108" w:type="dxa"/>
            <w:bottom w:w="0" w:type="dxa"/>
            <w:right w:w="108" w:type="dxa"/>
          </w:tblCellMar>
        </w:tblPrEx>
        <w:trPr>
          <w:trHeight w:val="377"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p>
        </w:tc>
        <w:tc>
          <w:tcPr>
            <w:tcW w:w="5991" w:type="dxa"/>
            <w:gridSpan w:val="4"/>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合计：</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224.64</w:t>
            </w:r>
          </w:p>
        </w:tc>
      </w:tr>
    </w:tbl>
    <w:p>
      <w:pPr>
        <w:keepNext w:val="0"/>
        <w:keepLines w:val="0"/>
        <w:widowControl w:val="0"/>
        <w:suppressLineNumbers w:val="0"/>
        <w:spacing w:before="0" w:beforeAutospacing="0" w:after="0" w:afterAutospacing="0"/>
        <w:ind w:left="0" w:right="0" w:firstLine="800" w:firstLineChars="250"/>
        <w:jc w:val="both"/>
        <w:rPr>
          <w:rFonts w:hint="eastAsia" w:ascii="仿宋..瑵ě瑵." w:hAnsi="仿宋..瑵ě瑵." w:eastAsia="仿宋..瑵ě瑵." w:cs="仿宋..瑵ě瑵."/>
          <w:color w:val="000000"/>
          <w:sz w:val="32"/>
          <w:szCs w:val="20"/>
          <w:lang w:val="en-US"/>
        </w:rPr>
      </w:pPr>
    </w:p>
    <w:p>
      <w:pPr>
        <w:keepNext w:val="0"/>
        <w:keepLines w:val="0"/>
        <w:widowControl w:val="0"/>
        <w:suppressLineNumbers w:val="0"/>
        <w:spacing w:before="0" w:beforeAutospacing="0" w:after="0" w:afterAutospacing="0"/>
        <w:ind w:left="0" w:right="0" w:firstLine="803" w:firstLineChars="250"/>
        <w:jc w:val="both"/>
        <w:rPr>
          <w:rFonts w:hint="eastAsia" w:ascii="仿宋_GB2312" w:hAnsi="宋体" w:eastAsia="仿宋_GB2312" w:cs="宋体"/>
          <w:sz w:val="32"/>
          <w:szCs w:val="32"/>
          <w:lang w:val="en-US"/>
        </w:rPr>
      </w:pPr>
      <w:r>
        <w:rPr>
          <w:rFonts w:hint="eastAsia" w:ascii="仿宋_GB2312" w:hAnsi="Times New Roman" w:eastAsia="仿宋_GB2312" w:cs="仿宋_GB2312"/>
          <w:b/>
          <w:bCs w:val="0"/>
          <w:kern w:val="2"/>
          <w:sz w:val="32"/>
          <w:szCs w:val="32"/>
          <w:lang w:val="en-US" w:eastAsia="zh-CN" w:bidi="ar"/>
        </w:rPr>
        <w:t>2.</w:t>
      </w:r>
      <w:r>
        <w:rPr>
          <w:rFonts w:hint="eastAsia" w:ascii="仿宋_GB2312" w:hAnsi="宋体" w:eastAsia="仿宋_GB2312" w:cs="宋体"/>
          <w:b/>
          <w:bCs w:val="0"/>
          <w:kern w:val="2"/>
          <w:sz w:val="32"/>
          <w:szCs w:val="32"/>
          <w:lang w:val="en-US" w:eastAsia="zh-CN" w:bidi="ar"/>
        </w:rPr>
        <w:t>政府采购支出情况说明。</w:t>
      </w:r>
      <w:r>
        <w:rPr>
          <w:rFonts w:hint="eastAsia" w:ascii="仿宋_GB2312" w:hAnsi="仿宋" w:eastAsia="仿宋_GB2312" w:cs="仿宋_GB2312"/>
          <w:kern w:val="2"/>
          <w:sz w:val="32"/>
          <w:szCs w:val="32"/>
          <w:lang w:val="en-US" w:eastAsia="zh-CN" w:bidi="ar"/>
        </w:rPr>
        <w:t>2017年度政府采购支出总额9,379.12万元，其中,政府采购货物支出102.33万元，政府采购服务支出9,276.79万元, 无政府采购工程支出。</w:t>
      </w:r>
      <w:r>
        <w:rPr>
          <w:rFonts w:hint="eastAsia" w:ascii="仿宋_GB2312" w:hAnsi="仿宋" w:eastAsia="仿宋_GB2312" w:cs="仿宋_GB2312"/>
          <w:kern w:val="0"/>
          <w:sz w:val="32"/>
          <w:szCs w:val="32"/>
          <w:lang w:val="en-US" w:eastAsia="zh-CN" w:bidi="ar"/>
        </w:rPr>
        <w:t>政府采购支出中授予中小企业合同9,379.12万元，占政府采购支出总额100%。</w:t>
      </w:r>
    </w:p>
    <w:p>
      <w:pPr>
        <w:keepNext w:val="0"/>
        <w:keepLines w:val="0"/>
        <w:widowControl w:val="0"/>
        <w:suppressLineNumbers w:val="0"/>
        <w:spacing w:before="0" w:beforeAutospacing="0" w:after="0" w:afterAutospacing="0"/>
        <w:ind w:left="0" w:right="0" w:firstLine="803" w:firstLineChars="250"/>
        <w:jc w:val="both"/>
        <w:rPr>
          <w:rFonts w:hint="eastAsia" w:ascii="仿宋_GB2312" w:eastAsia="仿宋_GB2312" w:cs="仿宋_GB2312"/>
          <w:b/>
          <w:bCs w:val="0"/>
          <w:sz w:val="32"/>
          <w:szCs w:val="32"/>
          <w:lang w:val="en-US"/>
        </w:rPr>
      </w:pPr>
      <w:r>
        <w:rPr>
          <w:rFonts w:hint="eastAsia" w:ascii="仿宋_GB2312" w:hAnsi="Times New Roman" w:eastAsia="仿宋_GB2312" w:cs="仿宋_GB2312"/>
          <w:b/>
          <w:bCs w:val="0"/>
          <w:kern w:val="2"/>
          <w:sz w:val="32"/>
          <w:szCs w:val="32"/>
          <w:lang w:val="en-US" w:eastAsia="zh-CN" w:bidi="ar"/>
        </w:rPr>
        <w:t xml:space="preserve">3.2017 </w:t>
      </w:r>
      <w:r>
        <w:rPr>
          <w:rFonts w:hint="eastAsia" w:ascii="仿宋_GB2312" w:hAnsi="宋体" w:eastAsia="仿宋_GB2312" w:cs="宋体"/>
          <w:b/>
          <w:bCs w:val="0"/>
          <w:kern w:val="2"/>
          <w:sz w:val="32"/>
          <w:szCs w:val="32"/>
          <w:lang w:val="en-US" w:eastAsia="zh-CN" w:bidi="ar"/>
        </w:rPr>
        <w:t>年度预算绩效情况说明。</w:t>
      </w:r>
    </w:p>
    <w:p>
      <w:pPr>
        <w:keepNext w:val="0"/>
        <w:keepLines w:val="0"/>
        <w:widowControl w:val="0"/>
        <w:suppressLineNumbers w:val="0"/>
        <w:autoSpaceDE w:val="0"/>
        <w:autoSpaceDN w:val="0"/>
        <w:spacing w:before="0" w:beforeAutospacing="0" w:after="0" w:afterAutospacing="0" w:line="560" w:lineRule="exact"/>
        <w:ind w:left="0" w:right="0" w:firstLine="640" w:firstLineChars="200"/>
        <w:jc w:val="left"/>
        <w:rPr>
          <w:rFonts w:hint="eastAsia" w:ascii="仿宋_GB2312" w:hAnsi="仿宋" w:eastAsia="仿宋_GB2312" w:cs="仿宋_GB2312"/>
          <w:kern w:val="0"/>
          <w:sz w:val="32"/>
          <w:szCs w:val="32"/>
          <w:lang w:val="en-US"/>
        </w:rPr>
      </w:pPr>
      <w:r>
        <w:rPr>
          <w:rFonts w:hint="eastAsia" w:ascii="仿宋_GB2312" w:hAnsi="仿宋" w:eastAsia="仿宋_GB2312" w:cs="Arial"/>
          <w:kern w:val="2"/>
          <w:sz w:val="32"/>
          <w:szCs w:val="32"/>
          <w:lang w:val="en-US" w:eastAsia="zh-CN" w:bidi="ar"/>
        </w:rPr>
        <w:t>（1）绩效管理工作开展情况。</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Arial"/>
          <w:sz w:val="32"/>
          <w:szCs w:val="32"/>
          <w:lang w:val="en-US"/>
        </w:rPr>
      </w:pPr>
      <w:r>
        <w:rPr>
          <w:rFonts w:hint="eastAsia" w:ascii="仿宋_GB2312" w:hAnsi="仿宋" w:eastAsia="仿宋_GB2312" w:cs="Arial"/>
          <w:kern w:val="2"/>
          <w:sz w:val="32"/>
          <w:szCs w:val="32"/>
          <w:lang w:val="en-US" w:eastAsia="zh-CN" w:bidi="ar"/>
        </w:rPr>
        <w:t>绩效自评情况。2017年，我单位组织城管执法工作、城市管理工作（含市政道路清扫保洁工作、城中村清扫保洁工作、绿地清扫保洁工作、绿道绿化管养工作）、计划生育工作、安全综治工作、民政专项事业五个项目的预算执行情况进行了绩效评价，涉及一般公共预算当年财政拨款8,242.62万元。绩效评价结果显示，上述项目支出绩效情况较为理想，均达到了项目申请时设定的各项绩效目标。</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Arial"/>
          <w:sz w:val="32"/>
          <w:szCs w:val="32"/>
          <w:lang w:val="en-US"/>
        </w:rPr>
      </w:pPr>
      <w:r>
        <w:rPr>
          <w:rFonts w:hint="eastAsia" w:ascii="仿宋_GB2312" w:hAnsi="仿宋" w:eastAsia="仿宋_GB2312" w:cs="Arial"/>
          <w:kern w:val="2"/>
          <w:sz w:val="32"/>
          <w:szCs w:val="32"/>
          <w:lang w:val="en-US" w:eastAsia="zh-CN" w:bidi="ar"/>
        </w:rPr>
        <w:t>（2）民生项目、重点项目绩效评价报告。</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Arial"/>
          <w:sz w:val="32"/>
          <w:szCs w:val="32"/>
          <w:lang w:val="en-US"/>
        </w:rPr>
      </w:pPr>
      <w:r>
        <w:rPr>
          <w:rFonts w:hint="eastAsia" w:ascii="仿宋_GB2312" w:hAnsi="仿宋" w:eastAsia="仿宋_GB2312" w:cs="Arial"/>
          <w:kern w:val="2"/>
          <w:sz w:val="32"/>
          <w:szCs w:val="32"/>
          <w:lang w:val="en-US" w:eastAsia="zh-CN" w:bidi="ar"/>
        </w:rPr>
        <w:t>市容环境卫生项目是我街道重点民生项目，绩效评价结果显示：“市容环境卫生”预算项目主要用于开展市政道路清扫，城中村环卫作业、辖区清运保洁、辖区绿道绿化养护。2017年该项目经费4,941.00万元，实际执行4,931.96万元。为保障项目落实、实现2017年市政道路清扫工作目标，我单位建立了相应的管理制度并细化了工作流程。项目的预算申报、组织实施、资金支付等均比较规范，项目的经济性、效率性和效益性也比较高。总体上看，该项目2017年预算执行的各项工作完成情况良好，达到了预期效果。</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宋体" w:eastAsia="仿宋_GB2312" w:cs="宋体"/>
          <w:b/>
          <w:bCs w:val="0"/>
          <w:sz w:val="32"/>
          <w:szCs w:val="32"/>
          <w:lang w:val="en-US"/>
        </w:rPr>
      </w:pPr>
      <w:r>
        <w:rPr>
          <w:rFonts w:hint="eastAsia" w:ascii="仿宋_GB2312" w:hAnsi="Times New Roman" w:eastAsia="仿宋_GB2312" w:cs="仿宋_GB2312"/>
          <w:b/>
          <w:bCs w:val="0"/>
          <w:kern w:val="2"/>
          <w:sz w:val="32"/>
          <w:szCs w:val="32"/>
          <w:lang w:val="en-US" w:eastAsia="zh-CN" w:bidi="ar"/>
        </w:rPr>
        <w:t>4.</w:t>
      </w:r>
      <w:r>
        <w:rPr>
          <w:rFonts w:hint="eastAsia" w:ascii="仿宋_GB2312" w:hAnsi="宋体" w:eastAsia="仿宋_GB2312" w:cs="宋体"/>
          <w:b/>
          <w:bCs w:val="0"/>
          <w:kern w:val="2"/>
          <w:sz w:val="32"/>
          <w:szCs w:val="32"/>
          <w:lang w:val="en-US" w:eastAsia="zh-CN" w:bidi="ar"/>
        </w:rPr>
        <w:t>国有资产占用情况说明。</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Arial"/>
          <w:sz w:val="32"/>
          <w:szCs w:val="32"/>
          <w:lang w:val="en-US"/>
        </w:rPr>
      </w:pPr>
      <w:r>
        <w:rPr>
          <w:rFonts w:hint="eastAsia" w:ascii="仿宋_GB2312" w:hAnsi="仿宋" w:eastAsia="仿宋_GB2312" w:cs="楷体_GB2312"/>
          <w:kern w:val="2"/>
          <w:sz w:val="32"/>
          <w:szCs w:val="32"/>
          <w:lang w:val="en-US" w:eastAsia="zh-CN" w:bidi="ar"/>
        </w:rPr>
        <w:t>截至2017年12月31日,本部门共有车辆12辆,其中领导干部用车0辆</w:t>
      </w:r>
      <w:r>
        <w:rPr>
          <w:rFonts w:hint="eastAsia" w:ascii="仿宋_GB2312" w:hAnsi="仿宋" w:eastAsia="仿宋_GB2312" w:cs="Arial"/>
          <w:kern w:val="2"/>
          <w:sz w:val="32"/>
          <w:szCs w:val="32"/>
          <w:lang w:val="en-US" w:eastAsia="zh-CN" w:bidi="ar"/>
        </w:rPr>
        <w:t>、一般公务用车3辆、一般执法执勤用车8辆、应急通讯用车1辆、其他用车0辆</w:t>
      </w:r>
      <w:r>
        <w:rPr>
          <w:rFonts w:hint="eastAsia" w:ascii="仿宋_GB2312" w:hAnsi="仿宋" w:eastAsia="仿宋_GB2312" w:cs="楷体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宋体" w:eastAsia="仿宋_GB2312" w:cs="宋体"/>
          <w:b/>
          <w:bCs w:val="0"/>
          <w:sz w:val="32"/>
          <w:szCs w:val="32"/>
          <w:lang w:val="en-US"/>
        </w:rPr>
      </w:pPr>
      <w:r>
        <w:rPr>
          <w:rFonts w:hint="eastAsia" w:ascii="仿宋_GB2312" w:hAnsi="Times New Roman" w:eastAsia="仿宋_GB2312" w:cs="宋体"/>
          <w:b/>
          <w:bCs w:val="0"/>
          <w:kern w:val="2"/>
          <w:sz w:val="32"/>
          <w:szCs w:val="32"/>
          <w:lang w:val="en-US" w:eastAsia="zh-CN" w:bidi="ar"/>
        </w:rPr>
        <w:t>5</w:t>
      </w:r>
      <w:r>
        <w:rPr>
          <w:rFonts w:hint="eastAsia" w:ascii="仿宋_GB2312" w:hAnsi="宋体" w:eastAsia="仿宋_GB2312" w:cs="宋体"/>
          <w:b/>
          <w:bCs w:val="0"/>
          <w:kern w:val="2"/>
          <w:sz w:val="32"/>
          <w:szCs w:val="32"/>
          <w:lang w:val="en-US" w:eastAsia="zh-CN" w:bidi="ar"/>
        </w:rPr>
        <w:t>．部门需要说明的其他特殊事项。</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 w:eastAsia="仿宋_GB2312" w:cs="Arial"/>
          <w:sz w:val="32"/>
          <w:szCs w:val="32"/>
          <w:lang w:val="en-US"/>
        </w:rPr>
      </w:pPr>
      <w:r>
        <w:rPr>
          <w:rFonts w:hint="eastAsia" w:ascii="仿宋_GB2312" w:hAnsi="仿宋" w:eastAsia="仿宋_GB2312" w:cs="Arial"/>
          <w:kern w:val="2"/>
          <w:sz w:val="32"/>
          <w:szCs w:val="32"/>
          <w:lang w:val="en-US" w:eastAsia="zh-CN" w:bidi="ar"/>
        </w:rPr>
        <w:t>2017年我单位无其他特殊事项说明。</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四、名词解释</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1.财政拨款收入：指财政当年拨付的资金。</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2.其他收入：指预算单位在“财政拨款收入”、“事业收入”、“经营收入”之外取得的收入。主要是按规定使用的上级财政补助经费和历年政府采购结转经费。</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3.基本支出：指为保障机构正常运转、完成日常工作任务而发生的人员支出（包括基本工资、津贴补贴等）和公用支出（包括办公费、邮电费、差旅费及印刷费等）。</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4.项目支出：指在基本支出之外为完成特定行政任务和事业发展目标所发生的支出。</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5.年末结转和结余：指本年度或以前年度预算安排、因客观条件发生变化无法按原计划实施，需要延迟到以后年度按有关规定继续使用的资金。</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6.“三公”经费：财政拨款安排的因公出国（境）费、公务用车购置及运行费和公务接待费。其中，因公出国（境）费反映单位公务出国（境）的国际旅费、国外城市间交通费、住宿费、伙食费及培训费等支出；公务用车购置及运行费反映单位公务用车车辆购置支出（含车辆购置税）及租用费、燃料费、维修费、保险费、过路过桥费等支出；公务接待费反映单位按规定开支的各类公务接待支出。</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lang w:val="en-US"/>
        </w:rPr>
      </w:pPr>
      <w:r>
        <w:rPr>
          <w:rFonts w:hint="eastAsia" w:ascii="仿宋_GB2312" w:hAnsi="仿宋" w:eastAsia="仿宋_GB2312" w:cs="仿宋_GB2312"/>
          <w:kern w:val="2"/>
          <w:sz w:val="32"/>
          <w:szCs w:val="32"/>
          <w:lang w:val="en-US" w:eastAsia="zh-CN" w:bidi="ar"/>
        </w:rPr>
        <w:t>7.</w:t>
      </w:r>
      <w:r>
        <w:rPr>
          <w:rFonts w:hint="eastAsia" w:ascii="仿宋_GB2312" w:hAnsi="仿宋..瑵ě瑵." w:eastAsia="仿宋_GB2312" w:cs="仿宋_GB2312"/>
          <w:color w:val="000000"/>
          <w:kern w:val="2"/>
          <w:sz w:val="32"/>
          <w:szCs w:val="20"/>
          <w:lang w:val="en-US" w:eastAsia="zh-CN"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eastAsiaTheme="minorEastAsia"/>
          <w:lang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宋体 . . 瑵ě瑵 .">
    <w:altName w:val="宋体"/>
    <w:panose1 w:val="00000000000000000000"/>
    <w:charset w:val="00"/>
    <w:family w:val="auto"/>
    <w:pitch w:val="default"/>
    <w:sig w:usb0="00000000" w:usb1="00000000" w:usb2="00000000" w:usb3="00000000" w:csb0="00040001" w:csb1="00000000"/>
  </w:font>
  <w:font w:name="仿宋..瑵ě瑵.">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21DFF"/>
    <w:rsid w:val="02594832"/>
    <w:rsid w:val="06591471"/>
    <w:rsid w:val="07DD06DB"/>
    <w:rsid w:val="09370A52"/>
    <w:rsid w:val="09B60DA3"/>
    <w:rsid w:val="0A526C4B"/>
    <w:rsid w:val="0C6C1E87"/>
    <w:rsid w:val="10CA0937"/>
    <w:rsid w:val="13FA1142"/>
    <w:rsid w:val="14EE4A1F"/>
    <w:rsid w:val="1E5C19FD"/>
    <w:rsid w:val="1E850039"/>
    <w:rsid w:val="1FBD1E47"/>
    <w:rsid w:val="23021DFF"/>
    <w:rsid w:val="25655E09"/>
    <w:rsid w:val="293F3673"/>
    <w:rsid w:val="2E793810"/>
    <w:rsid w:val="2F801A83"/>
    <w:rsid w:val="308618F3"/>
    <w:rsid w:val="356F6271"/>
    <w:rsid w:val="3D9D6E06"/>
    <w:rsid w:val="439B26E7"/>
    <w:rsid w:val="4A692E25"/>
    <w:rsid w:val="52282C59"/>
    <w:rsid w:val="52A34524"/>
    <w:rsid w:val="57794396"/>
    <w:rsid w:val="596F425D"/>
    <w:rsid w:val="5A4D3A24"/>
    <w:rsid w:val="5AF848DA"/>
    <w:rsid w:val="5B443F13"/>
    <w:rsid w:val="63397EC3"/>
    <w:rsid w:val="64E114B7"/>
    <w:rsid w:val="66253716"/>
    <w:rsid w:val="68E72A96"/>
    <w:rsid w:val="6D274D1F"/>
    <w:rsid w:val="6DFB70B6"/>
    <w:rsid w:val="723D3461"/>
    <w:rsid w:val="73BA430D"/>
    <w:rsid w:val="74CF1582"/>
    <w:rsid w:val="75A7477B"/>
    <w:rsid w:val="7FBC1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link w:val="13"/>
    <w:qFormat/>
    <w:uiPriority w:val="0"/>
    <w:pPr>
      <w:shd w:val="clear" w:color="auto" w:fill="000080"/>
    </w:pPr>
  </w:style>
  <w:style w:type="paragraph" w:styleId="3">
    <w:name w:val="Balloon Text"/>
    <w:basedOn w:val="1"/>
    <w:link w:val="8"/>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框文本 Char"/>
    <w:basedOn w:val="7"/>
    <w:link w:val="3"/>
    <w:uiPriority w:val="0"/>
    <w:rPr>
      <w:kern w:val="2"/>
      <w:sz w:val="18"/>
      <w:szCs w:val="18"/>
    </w:rPr>
  </w:style>
  <w:style w:type="character" w:customStyle="1" w:styleId="9">
    <w:name w:val="页脚 Char1"/>
    <w:basedOn w:val="7"/>
    <w:link w:val="4"/>
    <w:qFormat/>
    <w:uiPriority w:val="0"/>
    <w:rPr>
      <w:kern w:val="2"/>
      <w:sz w:val="18"/>
      <w:szCs w:val="18"/>
    </w:rPr>
  </w:style>
  <w:style w:type="character" w:customStyle="1" w:styleId="10">
    <w:name w:val="页眉 Char1"/>
    <w:basedOn w:val="7"/>
    <w:link w:val="5"/>
    <w:uiPriority w:val="0"/>
    <w:rPr>
      <w:kern w:val="2"/>
      <w:sz w:val="18"/>
      <w:szCs w:val="18"/>
    </w:rPr>
  </w:style>
  <w:style w:type="character" w:customStyle="1" w:styleId="11">
    <w:name w:val="页脚 Char"/>
    <w:basedOn w:val="7"/>
    <w:link w:val="4"/>
    <w:qFormat/>
    <w:uiPriority w:val="0"/>
    <w:rPr>
      <w:kern w:val="2"/>
      <w:sz w:val="18"/>
      <w:szCs w:val="18"/>
    </w:rPr>
  </w:style>
  <w:style w:type="character" w:customStyle="1" w:styleId="12">
    <w:name w:val="页眉 Char"/>
    <w:basedOn w:val="7"/>
    <w:link w:val="5"/>
    <w:uiPriority w:val="0"/>
    <w:rPr>
      <w:kern w:val="2"/>
      <w:sz w:val="18"/>
      <w:szCs w:val="18"/>
    </w:rPr>
  </w:style>
  <w:style w:type="character" w:customStyle="1" w:styleId="13">
    <w:name w:val="文档结构图 Char"/>
    <w:basedOn w:val="7"/>
    <w:link w:val="2"/>
    <w:uiPriority w:val="0"/>
    <w:rPr>
      <w:rFonts w:hint="eastAsia" w:ascii="宋体" w:hAnsi="宋体"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8017</Words>
  <Characters>12681</Characters>
  <Lines>0</Lines>
  <Paragraphs>0</Paragraphs>
  <TotalTime>0</TotalTime>
  <ScaleCrop>false</ScaleCrop>
  <LinksUpToDate>false</LinksUpToDate>
  <CharactersWithSpaces>13703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2018-10-31T08:16:00Z</dcterms:created>
  <dc:creator>Administrator</dc:creator>
  <cp:lastModifiedBy>-Jus</cp:lastModifiedBy>
  <dcterms:modified xsi:type="dcterms:W3CDTF">2021-05-24T13:30:03Z</dcterms:modified>
  <dc:title>沙头街道办事处2017年度部门决算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E35FDBD7CDED48589A00B1D9B69CE861</vt:lpwstr>
  </property>
</Properties>
</file>