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bottom w:val="none" w:color="auto" w:sz="0" w:space="21"/>
        </w:pBdr>
        <w:kinsoku/>
        <w:wordWrap/>
        <w:overflowPunct/>
        <w:topLinePunct w:val="0"/>
        <w:autoSpaceDN w:val="0"/>
        <w:bidi w:val="0"/>
        <w:adjustRightInd w:val="0"/>
        <w:snapToGrid w:val="0"/>
        <w:spacing w:beforeLines="0" w:afterLines="0" w:line="579" w:lineRule="exact"/>
        <w:ind w:right="0" w:rightChars="0"/>
        <w:textAlignment w:val="auto"/>
        <w:outlineLvl w:val="9"/>
        <w:rPr>
          <w:rFonts w:hint="eastAsia" w:ascii="黑体" w:hAnsi="黑体" w:eastAsia="黑体" w:cs="黑体"/>
          <w:b w:val="0"/>
          <w:bCs w:val="0"/>
          <w:color w:val="000000"/>
          <w:sz w:val="32"/>
          <w:szCs w:val="32"/>
          <w:u w:val="none" w:color="auto"/>
          <w:lang w:eastAsia="zh-CN"/>
        </w:rPr>
      </w:pPr>
      <w:r>
        <w:rPr>
          <w:rFonts w:hint="eastAsia" w:ascii="黑体" w:hAnsi="黑体" w:eastAsia="黑体" w:cs="黑体"/>
          <w:b w:val="0"/>
          <w:bCs w:val="0"/>
          <w:color w:val="000000"/>
          <w:sz w:val="32"/>
          <w:szCs w:val="32"/>
          <w:u w:val="none" w:color="auto"/>
          <w:lang w:eastAsia="zh-CN"/>
        </w:rPr>
        <w:t>附件</w:t>
      </w:r>
    </w:p>
    <w:p>
      <w:pPr>
        <w:keepNext w:val="0"/>
        <w:keepLines w:val="0"/>
        <w:pageBreakBefore w:val="0"/>
        <w:widowControl w:val="0"/>
        <w:pBdr>
          <w:bottom w:val="none" w:color="auto" w:sz="0" w:space="21"/>
        </w:pBdr>
        <w:kinsoku/>
        <w:wordWrap/>
        <w:overflowPunct/>
        <w:topLinePunct w:val="0"/>
        <w:autoSpaceDE/>
        <w:autoSpaceDN w:val="0"/>
        <w:bidi w:val="0"/>
        <w:adjustRightInd w:val="0"/>
        <w:snapToGrid w:val="0"/>
        <w:spacing w:beforeLines="0" w:afterLines="0" w:line="579"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u w:val="none" w:color="auto"/>
          <w:lang w:eastAsia="zh-CN"/>
        </w:rPr>
      </w:pPr>
    </w:p>
    <w:p>
      <w:pPr>
        <w:keepNext w:val="0"/>
        <w:keepLines w:val="0"/>
        <w:pageBreakBefore w:val="0"/>
        <w:widowControl w:val="0"/>
        <w:pBdr>
          <w:bottom w:val="none" w:color="auto" w:sz="0" w:space="21"/>
        </w:pBdr>
        <w:kinsoku/>
        <w:wordWrap/>
        <w:overflowPunct/>
        <w:topLinePunct w:val="0"/>
        <w:autoSpaceDE/>
        <w:autoSpaceDN w:val="0"/>
        <w:bidi w:val="0"/>
        <w:adjustRightInd w:val="0"/>
        <w:snapToGrid w:val="0"/>
        <w:spacing w:beforeLines="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z w:val="44"/>
          <w:szCs w:val="44"/>
          <w:u w:val="none" w:color="auto"/>
          <w:lang w:eastAsia="zh-CN"/>
        </w:rPr>
      </w:pPr>
      <w:r>
        <w:rPr>
          <w:rFonts w:hint="eastAsia" w:ascii="方正小标宋_GBK" w:hAnsi="方正小标宋_GBK" w:eastAsia="方正小标宋_GBK" w:cs="方正小标宋_GBK"/>
          <w:b w:val="0"/>
          <w:bCs w:val="0"/>
          <w:color w:val="000000"/>
          <w:sz w:val="44"/>
          <w:szCs w:val="44"/>
          <w:u w:val="none" w:color="auto"/>
          <w:lang w:eastAsia="zh-CN"/>
        </w:rPr>
        <w:t>《政府工作报告》名词、术语注释</w:t>
      </w:r>
    </w:p>
    <w:p>
      <w:pPr>
        <w:keepNext w:val="0"/>
        <w:keepLines w:val="0"/>
        <w:pageBreakBefore w:val="0"/>
        <w:widowControl w:val="0"/>
        <w:pBdr>
          <w:bottom w:val="none" w:color="auto" w:sz="0" w:space="21"/>
        </w:pBdr>
        <w:kinsoku/>
        <w:wordWrap/>
        <w:overflowPunct/>
        <w:topLinePunct w:val="0"/>
        <w:autoSpaceDE/>
        <w:autoSpaceDN w:val="0"/>
        <w:bidi w:val="0"/>
        <w:adjustRightInd w:val="0"/>
        <w:snapToGrid w:val="0"/>
        <w:spacing w:beforeLines="0" w:afterLines="0" w:line="579"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sz w:val="44"/>
          <w:szCs w:val="44"/>
          <w:u w:val="none" w:color="auto"/>
          <w:lang w:eastAsia="zh-CN"/>
        </w:rPr>
      </w:pP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none" w:color="auto"/>
          <w:lang w:eastAsia="zh-CN"/>
        </w:rPr>
      </w:pPr>
      <w:r>
        <w:rPr>
          <w:rFonts w:hint="eastAsia" w:ascii="仿宋_GB2312" w:hAnsi="仿宋_GB2312" w:eastAsia="仿宋_GB2312" w:cs="仿宋_GB2312"/>
          <w:b w:val="0"/>
          <w:bCs w:val="0"/>
          <w:sz w:val="32"/>
          <w:szCs w:val="32"/>
          <w:u w:val="none" w:color="auto"/>
          <w:lang w:val="en-US" w:eastAsia="zh-CN"/>
        </w:rPr>
        <w:t>1.</w:t>
      </w:r>
      <w:r>
        <w:rPr>
          <w:rFonts w:hint="eastAsia" w:ascii="仿宋_GB2312" w:hAnsi="仿宋_GB2312" w:eastAsia="仿宋_GB2312" w:cs="仿宋_GB2312"/>
          <w:b w:val="0"/>
          <w:bCs w:val="0"/>
          <w:sz w:val="32"/>
          <w:szCs w:val="32"/>
          <w:u w:val="none" w:color="auto"/>
        </w:rPr>
        <w:t>暖心10条福礼包</w:t>
      </w:r>
      <w:r>
        <w:rPr>
          <w:rFonts w:hint="eastAsia" w:ascii="仿宋_GB2312" w:hAnsi="仿宋_GB2312" w:eastAsia="仿宋_GB2312" w:cs="仿宋_GB2312"/>
          <w:b w:val="0"/>
          <w:bCs w:val="0"/>
          <w:sz w:val="32"/>
          <w:szCs w:val="32"/>
          <w:u w:val="none" w:color="auto"/>
          <w:lang w:eastAsia="zh-CN"/>
        </w:rPr>
        <w:t>：联合爱心企业和爱心人士，向接受隔离的个人和家庭送上爱心礼物，包括视听VIP月卡、健身小器材、儿童礼物、畅销好书、分享活动等“防疫福礼包”，以及解疏热线、跑腿小哥、爱心补贴、希望绿植等“暖心服务”。</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highlight w:val="yellow"/>
          <w:u w:val="none" w:color="auto"/>
        </w:rPr>
      </w:pPr>
      <w:r>
        <w:rPr>
          <w:rFonts w:hint="eastAsia" w:ascii="仿宋_GB2312" w:hAnsi="仿宋_GB2312" w:eastAsia="仿宋_GB2312" w:cs="仿宋_GB2312"/>
          <w:b w:val="0"/>
          <w:bCs w:val="0"/>
          <w:sz w:val="32"/>
          <w:szCs w:val="32"/>
          <w:highlight w:val="none"/>
          <w:u w:val="none" w:color="auto"/>
          <w:lang w:val="en-US" w:eastAsia="zh-CN"/>
        </w:rPr>
        <w:t>2.</w:t>
      </w:r>
      <w:r>
        <w:rPr>
          <w:rFonts w:hint="eastAsia" w:ascii="仿宋_GB2312" w:hAnsi="仿宋_GB2312" w:eastAsia="仿宋_GB2312" w:cs="仿宋_GB2312"/>
          <w:b w:val="0"/>
          <w:bCs w:val="0"/>
          <w:sz w:val="32"/>
          <w:szCs w:val="32"/>
          <w:highlight w:val="none"/>
          <w:u w:val="none" w:color="auto"/>
        </w:rPr>
        <w:t>福医17条</w:t>
      </w:r>
      <w:r>
        <w:rPr>
          <w:rFonts w:hint="eastAsia" w:ascii="仿宋_GB2312" w:hAnsi="仿宋_GB2312" w:eastAsia="仿宋_GB2312" w:cs="仿宋_GB2312"/>
          <w:b w:val="0"/>
          <w:bCs w:val="0"/>
          <w:sz w:val="32"/>
          <w:szCs w:val="32"/>
          <w:highlight w:val="none"/>
          <w:u w:val="none" w:color="auto"/>
          <w:lang w:eastAsia="zh-CN"/>
        </w:rPr>
        <w:t>：指《福田区关心关爱医务防疫人员行动方案》，包括构建职称评聘“专项通道”、提供心理危机干预和心理疏导等17条举措，多角度保障了一线医务防疫人员的工作和生活。</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3.社区防疫“ACT”模式：</w:t>
      </w:r>
      <w:r>
        <w:rPr>
          <w:rFonts w:hint="eastAsia" w:ascii="仿宋_GB2312" w:hAnsi="仿宋_GB2312" w:eastAsia="仿宋_GB2312" w:cs="仿宋_GB2312"/>
          <w:b w:val="0"/>
          <w:bCs w:val="0"/>
          <w:sz w:val="32"/>
          <w:szCs w:val="32"/>
          <w:u w:val="none" w:color="auto"/>
        </w:rPr>
        <w:t>“A”（Administration），即党委政府严密组织，让病毒源头“切得断”；“C”（Community</w:t>
      </w:r>
      <w:r>
        <w:rPr>
          <w:rFonts w:hint="eastAsia" w:ascii="仿宋_GB2312" w:hAnsi="仿宋_GB2312" w:eastAsia="仿宋_GB2312" w:cs="仿宋_GB2312"/>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rPr>
        <w:t>Health</w:t>
      </w:r>
      <w:r>
        <w:rPr>
          <w:rFonts w:hint="eastAsia" w:ascii="仿宋_GB2312" w:hAnsi="仿宋_GB2312" w:eastAsia="仿宋_GB2312" w:cs="仿宋_GB2312"/>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rPr>
        <w:t>Service</w:t>
      </w:r>
      <w:r>
        <w:rPr>
          <w:rFonts w:hint="eastAsia" w:ascii="仿宋_GB2312" w:hAnsi="仿宋_GB2312" w:eastAsia="仿宋_GB2312" w:cs="仿宋_GB2312"/>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rPr>
        <w:t>Center），即社康中心巩固阵地，设立发热预检分诊台，及时发现发热病人和疑似患者并做好隔离和转诊；“T”（Trinity</w:t>
      </w:r>
      <w:r>
        <w:rPr>
          <w:rFonts w:hint="eastAsia" w:ascii="仿宋_GB2312" w:hAnsi="仿宋_GB2312" w:eastAsia="仿宋_GB2312" w:cs="仿宋_GB2312"/>
          <w:b w:val="0"/>
          <w:bCs w:val="0"/>
          <w:sz w:val="32"/>
          <w:szCs w:val="32"/>
          <w:u w:val="none" w:color="auto"/>
          <w:lang w:val="en-US" w:eastAsia="zh-CN"/>
        </w:rPr>
        <w:t xml:space="preserve"> </w:t>
      </w:r>
      <w:r>
        <w:rPr>
          <w:rFonts w:hint="eastAsia" w:ascii="仿宋_GB2312" w:hAnsi="仿宋_GB2312" w:eastAsia="仿宋_GB2312" w:cs="仿宋_GB2312"/>
          <w:b w:val="0"/>
          <w:bCs w:val="0"/>
          <w:sz w:val="32"/>
          <w:szCs w:val="32"/>
          <w:u w:val="none" w:color="auto"/>
        </w:rPr>
        <w:t>Mechanism），即社区工作者、社康医务人员、社区民警三位一体组建“三人小组”，联合防控。</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4.环中心公园活力圈：范围北至北环大道、西至彩田路、东至华强北路与华强南路一线、南至深圳河的围合区域，涵盖笔架山公园、深圳中心公园，将打造成时尚引领、产城融合、链接国际的“城市新名片”</w:t>
      </w:r>
      <w:r>
        <w:rPr>
          <w:rFonts w:hint="eastAsia" w:ascii="仿宋_GB2312" w:hAnsi="仿宋_GB2312" w:eastAsia="仿宋_GB2312" w:cs="仿宋_GB2312"/>
          <w:b w:val="0"/>
          <w:bCs w:val="0"/>
          <w:spacing w:val="2"/>
          <w:sz w:val="32"/>
          <w:szCs w:val="32"/>
          <w:u w:val="none" w:color="auto"/>
        </w:rPr>
        <w:t>。</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2"/>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5.“六稳”：</w:t>
      </w:r>
      <w:r>
        <w:rPr>
          <w:rFonts w:hint="eastAsia" w:ascii="仿宋_GB2312" w:hAnsi="仿宋_GB2312" w:eastAsia="仿宋_GB2312" w:cs="仿宋_GB2312"/>
          <w:b w:val="0"/>
          <w:bCs w:val="0"/>
          <w:spacing w:val="2"/>
          <w:sz w:val="32"/>
          <w:szCs w:val="32"/>
          <w:u w:val="none" w:color="auto"/>
        </w:rPr>
        <w:t>稳就业、稳金融、稳外贸、稳外资、稳投资、稳预期。</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6.“六保”：</w:t>
      </w:r>
      <w:r>
        <w:rPr>
          <w:rFonts w:hint="eastAsia" w:ascii="仿宋_GB2312" w:hAnsi="仿宋_GB2312" w:eastAsia="仿宋_GB2312" w:cs="仿宋_GB2312"/>
          <w:b w:val="0"/>
          <w:bCs w:val="0"/>
          <w:spacing w:val="2"/>
          <w:sz w:val="32"/>
          <w:szCs w:val="32"/>
          <w:u w:val="none" w:color="auto"/>
        </w:rPr>
        <w:t>保居民就业、保基本民生、保市场主体、保粮食能源安全、保产业链供应链稳定、保基层运转。</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shd w:val="clear" w:color="auto" w:fill="FFFFFF"/>
          <w:lang w:eastAsia="zh-CN"/>
        </w:rPr>
      </w:pPr>
      <w:r>
        <w:rPr>
          <w:rFonts w:hint="eastAsia" w:ascii="仿宋_GB2312" w:hAnsi="仿宋_GB2312" w:eastAsia="仿宋_GB2312" w:cs="仿宋_GB2312"/>
          <w:b w:val="0"/>
          <w:bCs w:val="0"/>
          <w:color w:val="auto"/>
          <w:sz w:val="32"/>
          <w:szCs w:val="32"/>
          <w:u w:val="none" w:color="auto"/>
          <w:lang w:val="en-US" w:eastAsia="zh-CN"/>
        </w:rPr>
        <w:t>7.“福企”十一条：</w:t>
      </w:r>
      <w:r>
        <w:rPr>
          <w:rFonts w:hint="eastAsia" w:ascii="仿宋_GB2312" w:hAnsi="仿宋_GB2312" w:eastAsia="仿宋_GB2312" w:cs="仿宋_GB2312"/>
          <w:b w:val="0"/>
          <w:bCs w:val="0"/>
          <w:color w:val="auto"/>
          <w:sz w:val="32"/>
          <w:szCs w:val="32"/>
          <w:u w:val="none" w:color="auto"/>
        </w:rPr>
        <w:t>全国首个县区级政府防控疫情惠企政策</w:t>
      </w:r>
      <w:r>
        <w:rPr>
          <w:rFonts w:hint="eastAsia" w:ascii="仿宋_GB2312" w:hAnsi="仿宋_GB2312" w:eastAsia="仿宋_GB2312" w:cs="仿宋_GB2312"/>
          <w:b w:val="0"/>
          <w:bCs w:val="0"/>
          <w:color w:val="auto"/>
          <w:sz w:val="32"/>
          <w:szCs w:val="32"/>
          <w:u w:val="none" w:color="auto"/>
          <w:lang w:eastAsia="zh-CN"/>
        </w:rPr>
        <w:t>，共设置</w:t>
      </w:r>
      <w:r>
        <w:rPr>
          <w:rFonts w:hint="eastAsia" w:ascii="仿宋_GB2312" w:hAnsi="仿宋_GB2312" w:eastAsia="仿宋_GB2312" w:cs="仿宋_GB2312"/>
          <w:b w:val="0"/>
          <w:bCs w:val="0"/>
          <w:color w:val="auto"/>
          <w:sz w:val="32"/>
          <w:szCs w:val="32"/>
          <w:u w:val="none" w:color="auto"/>
          <w:lang w:val="en-US" w:eastAsia="zh-CN"/>
        </w:rPr>
        <w:t>11个条款16个项目，直击</w:t>
      </w:r>
      <w:r>
        <w:rPr>
          <w:rFonts w:hint="eastAsia" w:ascii="仿宋_GB2312" w:hAnsi="仿宋_GB2312" w:eastAsia="仿宋_GB2312" w:cs="仿宋_GB2312"/>
          <w:b w:val="0"/>
          <w:bCs w:val="0"/>
          <w:color w:val="auto"/>
          <w:sz w:val="32"/>
          <w:szCs w:val="32"/>
          <w:u w:val="none" w:color="auto"/>
          <w:lang w:eastAsia="zh-CN"/>
        </w:rPr>
        <w:t>房租高、用工贵、招工难、融资难、资金紧等痛点问题，</w:t>
      </w:r>
      <w:r>
        <w:rPr>
          <w:rFonts w:hint="eastAsia" w:ascii="仿宋_GB2312" w:hAnsi="仿宋_GB2312" w:eastAsia="仿宋_GB2312" w:cs="仿宋_GB2312"/>
          <w:b w:val="0"/>
          <w:bCs w:val="0"/>
          <w:color w:val="auto"/>
          <w:sz w:val="32"/>
          <w:szCs w:val="32"/>
          <w:u w:val="none" w:color="auto"/>
        </w:rPr>
        <w:t>支持我区重点行业和民营中小企业积极应对疫情带来的生产经营困难，与企业同舟共济</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共克时艰</w:t>
      </w:r>
      <w:r>
        <w:rPr>
          <w:rFonts w:hint="eastAsia" w:ascii="仿宋_GB2312" w:hAnsi="仿宋_GB2312" w:eastAsia="仿宋_GB2312" w:cs="仿宋_GB2312"/>
          <w:b w:val="0"/>
          <w:bCs w:val="0"/>
          <w:color w:val="auto"/>
          <w:sz w:val="32"/>
          <w:szCs w:val="32"/>
          <w:u w:val="none" w:color="auto"/>
          <w:lang w:eastAsia="zh-CN"/>
        </w:rPr>
        <w:t>。</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shd w:val="clear" w:color="auto" w:fill="FFFFFF"/>
          <w:lang w:eastAsia="zh-CN"/>
        </w:rPr>
      </w:pPr>
      <w:r>
        <w:rPr>
          <w:rFonts w:hint="eastAsia" w:ascii="仿宋_GB2312" w:hAnsi="仿宋_GB2312" w:eastAsia="仿宋_GB2312" w:cs="仿宋_GB2312"/>
          <w:b w:val="0"/>
          <w:bCs w:val="0"/>
          <w:color w:val="auto"/>
          <w:sz w:val="32"/>
          <w:szCs w:val="32"/>
          <w:u w:val="none" w:color="auto"/>
          <w:lang w:val="en-US" w:eastAsia="zh-CN"/>
        </w:rPr>
        <w:t>8.“福企”新十条：“福企”十一条升级版，</w:t>
      </w:r>
      <w:r>
        <w:rPr>
          <w:rFonts w:hint="eastAsia" w:ascii="仿宋_GB2312" w:hAnsi="仿宋_GB2312" w:eastAsia="仿宋_GB2312" w:cs="仿宋_GB2312"/>
          <w:b w:val="0"/>
          <w:bCs w:val="0"/>
          <w:i w:val="0"/>
          <w:caps w:val="0"/>
          <w:color w:val="auto"/>
          <w:spacing w:val="0"/>
          <w:sz w:val="32"/>
          <w:szCs w:val="32"/>
          <w:u w:val="none" w:color="auto"/>
          <w:shd w:val="clear" w:color="080000" w:fill="FFFFFF"/>
          <w:lang w:val="en-US" w:eastAsia="zh-CN"/>
        </w:rPr>
        <w:t>设置10个条款24个项目</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针对性解决企业全面复产和扩大经营面临的</w:t>
      </w:r>
      <w:r>
        <w:rPr>
          <w:rFonts w:hint="eastAsia" w:ascii="仿宋_GB2312" w:hAnsi="仿宋_GB2312" w:eastAsia="仿宋_GB2312" w:cs="仿宋_GB2312"/>
          <w:b w:val="0"/>
          <w:bCs w:val="0"/>
          <w:color w:val="auto"/>
          <w:sz w:val="32"/>
          <w:szCs w:val="32"/>
          <w:u w:val="none" w:color="auto"/>
          <w:lang w:eastAsia="zh-CN"/>
        </w:rPr>
        <w:t>租金、人才、防护物资等</w:t>
      </w:r>
      <w:r>
        <w:rPr>
          <w:rFonts w:hint="eastAsia" w:ascii="仿宋_GB2312" w:hAnsi="仿宋_GB2312" w:eastAsia="仿宋_GB2312" w:cs="仿宋_GB2312"/>
          <w:b w:val="0"/>
          <w:bCs w:val="0"/>
          <w:color w:val="auto"/>
          <w:sz w:val="32"/>
          <w:szCs w:val="32"/>
          <w:u w:val="none" w:color="auto"/>
        </w:rPr>
        <w:t>痛点问题，尽可能降低疫情对企业的影响</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highlight w:val="none"/>
          <w:u w:val="none" w:color="auto"/>
          <w:shd w:val="clear" w:color="auto" w:fill="FFFFFF"/>
        </w:rPr>
        <w:t>支持企业有序复产达产增收</w:t>
      </w:r>
      <w:r>
        <w:rPr>
          <w:rFonts w:hint="eastAsia" w:ascii="仿宋_GB2312" w:hAnsi="仿宋_GB2312" w:eastAsia="仿宋_GB2312" w:cs="仿宋_GB2312"/>
          <w:b w:val="0"/>
          <w:bCs w:val="0"/>
          <w:color w:val="auto"/>
          <w:sz w:val="32"/>
          <w:szCs w:val="32"/>
          <w:highlight w:val="none"/>
          <w:u w:val="none" w:color="auto"/>
          <w:shd w:val="clear" w:color="auto" w:fill="FFFFFF"/>
          <w:lang w:eastAsia="zh-CN"/>
        </w:rPr>
        <w:t>。</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highlight w:val="none"/>
          <w:u w:val="none" w:color="auto"/>
          <w:shd w:val="clear" w:color="auto" w:fill="FFFFFF"/>
          <w:lang w:val="en-US" w:eastAsia="zh-CN"/>
        </w:rPr>
        <w:t>9.</w:t>
      </w:r>
      <w:r>
        <w:rPr>
          <w:rFonts w:hint="eastAsia" w:ascii="仿宋_GB2312" w:hAnsi="仿宋_GB2312" w:eastAsia="仿宋_GB2312" w:cs="仿宋_GB2312"/>
          <w:b w:val="0"/>
          <w:bCs w:val="0"/>
          <w:color w:val="auto"/>
          <w:sz w:val="32"/>
          <w:szCs w:val="32"/>
          <w:u w:val="none" w:color="auto"/>
          <w:lang w:val="en-US" w:eastAsia="zh-CN"/>
        </w:rPr>
        <w:t>“1+9+N”产业资金政策：</w:t>
      </w:r>
      <w:r>
        <w:rPr>
          <w:rFonts w:hint="eastAsia" w:ascii="仿宋_GB2312" w:hAnsi="仿宋_GB2312" w:eastAsia="仿宋_GB2312" w:cs="仿宋_GB2312"/>
          <w:b w:val="0"/>
          <w:bCs w:val="0"/>
          <w:color w:val="auto"/>
          <w:sz w:val="32"/>
          <w:szCs w:val="32"/>
          <w:u w:val="none" w:color="auto"/>
        </w:rPr>
        <w:t>指福田区促进辖区产业发展的系列政策文件。“1”是指产业资金管理办法，是产业资金政策的制度性文件，涉及资金管理机构、绩效、监管等。“9”是指招商引资、总部经济、先进制造业、</w:t>
      </w:r>
      <w:r>
        <w:rPr>
          <w:rFonts w:hint="eastAsia" w:ascii="仿宋_GB2312" w:hAnsi="仿宋_GB2312" w:eastAsia="仿宋_GB2312" w:cs="仿宋_GB2312"/>
          <w:b w:val="0"/>
          <w:bCs w:val="0"/>
          <w:color w:val="auto"/>
          <w:sz w:val="32"/>
          <w:szCs w:val="32"/>
          <w:u w:val="none" w:color="auto"/>
          <w:lang w:eastAsia="zh-CN"/>
        </w:rPr>
        <w:t>商业、</w:t>
      </w:r>
      <w:r>
        <w:rPr>
          <w:rFonts w:hint="eastAsia" w:ascii="仿宋_GB2312" w:hAnsi="仿宋_GB2312" w:eastAsia="仿宋_GB2312" w:cs="仿宋_GB2312"/>
          <w:b w:val="0"/>
          <w:bCs w:val="0"/>
          <w:color w:val="auto"/>
          <w:sz w:val="32"/>
          <w:szCs w:val="32"/>
          <w:u w:val="none" w:color="auto"/>
        </w:rPr>
        <w:t>金融业、上市企业、</w:t>
      </w:r>
      <w:r>
        <w:rPr>
          <w:rFonts w:hint="eastAsia" w:ascii="仿宋_GB2312" w:hAnsi="仿宋_GB2312" w:eastAsia="仿宋_GB2312" w:cs="仿宋_GB2312"/>
          <w:b w:val="0"/>
          <w:bCs w:val="0"/>
          <w:color w:val="auto"/>
          <w:sz w:val="32"/>
          <w:szCs w:val="32"/>
          <w:u w:val="none" w:color="auto"/>
          <w:lang w:eastAsia="zh-CN"/>
        </w:rPr>
        <w:t>高端服务业</w:t>
      </w:r>
      <w:r>
        <w:rPr>
          <w:rFonts w:hint="eastAsia" w:ascii="仿宋_GB2312" w:hAnsi="仿宋_GB2312" w:eastAsia="仿宋_GB2312" w:cs="仿宋_GB2312"/>
          <w:b w:val="0"/>
          <w:bCs w:val="0"/>
          <w:color w:val="auto"/>
          <w:sz w:val="32"/>
          <w:szCs w:val="32"/>
          <w:u w:val="none" w:color="auto"/>
        </w:rPr>
        <w:t>、科技创新、文化</w:t>
      </w:r>
      <w:r>
        <w:rPr>
          <w:rFonts w:hint="eastAsia" w:ascii="仿宋_GB2312" w:hAnsi="仿宋_GB2312" w:eastAsia="仿宋_GB2312" w:cs="仿宋_GB2312"/>
          <w:b w:val="0"/>
          <w:bCs w:val="0"/>
          <w:color w:val="auto"/>
          <w:sz w:val="32"/>
          <w:szCs w:val="32"/>
          <w:u w:val="none" w:color="auto"/>
          <w:lang w:eastAsia="zh-CN"/>
        </w:rPr>
        <w:t>旅游体育</w:t>
      </w:r>
      <w:r>
        <w:rPr>
          <w:rFonts w:hint="eastAsia" w:ascii="仿宋_GB2312" w:hAnsi="仿宋_GB2312" w:eastAsia="仿宋_GB2312" w:cs="仿宋_GB2312"/>
          <w:b w:val="0"/>
          <w:bCs w:val="0"/>
          <w:color w:val="auto"/>
          <w:sz w:val="32"/>
          <w:szCs w:val="32"/>
          <w:u w:val="none" w:color="auto"/>
        </w:rPr>
        <w:t>产业等9个通用政策。“N”是指商协会</w:t>
      </w:r>
      <w:r>
        <w:rPr>
          <w:rFonts w:hint="eastAsia" w:ascii="仿宋_GB2312" w:hAnsi="仿宋_GB2312" w:eastAsia="仿宋_GB2312" w:cs="仿宋_GB2312"/>
          <w:b w:val="0"/>
          <w:bCs w:val="0"/>
          <w:color w:val="auto"/>
          <w:sz w:val="32"/>
          <w:szCs w:val="32"/>
          <w:u w:val="none" w:color="auto"/>
          <w:lang w:eastAsia="zh-CN"/>
        </w:rPr>
        <w:t>、科技企业高成长、集成电路、生物医药、</w:t>
      </w:r>
      <w:r>
        <w:rPr>
          <w:rFonts w:hint="eastAsia" w:ascii="仿宋_GB2312" w:hAnsi="仿宋_GB2312" w:eastAsia="仿宋_GB2312" w:cs="仿宋_GB2312"/>
          <w:b w:val="0"/>
          <w:bCs w:val="0"/>
          <w:color w:val="auto"/>
          <w:sz w:val="32"/>
          <w:szCs w:val="32"/>
          <w:u w:val="none" w:color="auto"/>
        </w:rPr>
        <w:t>新一代人工智能、</w:t>
      </w:r>
      <w:r>
        <w:rPr>
          <w:rFonts w:hint="eastAsia" w:ascii="仿宋_GB2312" w:hAnsi="仿宋_GB2312" w:eastAsia="仿宋_GB2312" w:cs="仿宋_GB2312"/>
          <w:b w:val="0"/>
          <w:bCs w:val="0"/>
          <w:color w:val="auto"/>
          <w:sz w:val="32"/>
          <w:szCs w:val="32"/>
          <w:u w:val="none" w:color="auto"/>
          <w:lang w:eastAsia="zh-CN"/>
        </w:rPr>
        <w:t>区块链、</w:t>
      </w:r>
      <w:r>
        <w:rPr>
          <w:rFonts w:hint="eastAsia" w:ascii="仿宋_GB2312" w:hAnsi="仿宋_GB2312" w:eastAsia="仿宋_GB2312" w:cs="仿宋_GB2312"/>
          <w:b w:val="0"/>
          <w:bCs w:val="0"/>
          <w:color w:val="auto"/>
          <w:sz w:val="32"/>
          <w:szCs w:val="32"/>
          <w:u w:val="none" w:color="auto"/>
        </w:rPr>
        <w:t>供应链、金融科技、建筑装饰设计、时尚产业、企业债券直通车机制、</w:t>
      </w:r>
      <w:r>
        <w:rPr>
          <w:rFonts w:hint="eastAsia" w:ascii="仿宋_GB2312" w:hAnsi="仿宋_GB2312" w:eastAsia="仿宋_GB2312" w:cs="仿宋_GB2312"/>
          <w:b w:val="0"/>
          <w:bCs w:val="0"/>
          <w:color w:val="auto"/>
          <w:sz w:val="32"/>
          <w:szCs w:val="32"/>
          <w:u w:val="none" w:color="auto"/>
          <w:lang w:eastAsia="zh-CN"/>
        </w:rPr>
        <w:t>车公庙时尚产业空间、</w:t>
      </w:r>
      <w:r>
        <w:rPr>
          <w:rFonts w:hint="eastAsia" w:ascii="仿宋_GB2312" w:hAnsi="仿宋_GB2312" w:eastAsia="仿宋_GB2312" w:cs="仿宋_GB2312"/>
          <w:b w:val="0"/>
          <w:bCs w:val="0"/>
          <w:color w:val="auto"/>
          <w:sz w:val="32"/>
          <w:szCs w:val="32"/>
          <w:u w:val="none" w:color="auto"/>
        </w:rPr>
        <w:t>华强上步片区产业空间、</w:t>
      </w:r>
      <w:r>
        <w:rPr>
          <w:rFonts w:hint="eastAsia" w:ascii="仿宋_GB2312" w:hAnsi="仿宋_GB2312" w:eastAsia="仿宋_GB2312" w:cs="仿宋_GB2312"/>
          <w:b w:val="0"/>
          <w:bCs w:val="0"/>
          <w:color w:val="auto"/>
          <w:sz w:val="32"/>
          <w:szCs w:val="32"/>
          <w:u w:val="none" w:color="auto"/>
          <w:lang w:eastAsia="zh-CN"/>
        </w:rPr>
        <w:t>城市更新片区</w:t>
      </w:r>
      <w:r>
        <w:rPr>
          <w:rFonts w:hint="eastAsia" w:ascii="仿宋_GB2312" w:hAnsi="仿宋_GB2312" w:eastAsia="仿宋_GB2312" w:cs="仿宋_GB2312"/>
          <w:b w:val="0"/>
          <w:bCs w:val="0"/>
          <w:color w:val="auto"/>
          <w:sz w:val="32"/>
          <w:szCs w:val="32"/>
          <w:u w:val="none" w:color="auto"/>
        </w:rPr>
        <w:t>等1</w:t>
      </w:r>
      <w:r>
        <w:rPr>
          <w:rFonts w:hint="eastAsia" w:ascii="仿宋_GB2312" w:hAnsi="仿宋_GB2312" w:eastAsia="仿宋_GB2312" w:cs="仿宋_GB2312"/>
          <w:b w:val="0"/>
          <w:bCs w:val="0"/>
          <w:color w:val="auto"/>
          <w:sz w:val="32"/>
          <w:szCs w:val="32"/>
          <w:u w:val="none" w:color="auto"/>
          <w:lang w:val="en-US" w:eastAsia="zh-CN"/>
        </w:rPr>
        <w:t>4</w:t>
      </w:r>
      <w:r>
        <w:rPr>
          <w:rFonts w:hint="eastAsia" w:ascii="仿宋_GB2312" w:hAnsi="仿宋_GB2312" w:eastAsia="仿宋_GB2312" w:cs="仿宋_GB2312"/>
          <w:b w:val="0"/>
          <w:bCs w:val="0"/>
          <w:color w:val="auto"/>
          <w:sz w:val="32"/>
          <w:szCs w:val="32"/>
          <w:u w:val="none" w:color="auto"/>
        </w:rPr>
        <w:t>个细分产业或片区支持政策。</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10.都市型、分布式、智能化科创区：都市型是指把科创区建在人口高密度、金融资本高度集聚、商业功能完善、生活配套醇熟、地理位置优越的大都市中心城区，实现“人产城创”的深度融合；分布式是指创新创业者、高科技企业、研发机构等不再集中于统一规划的园区之中，而是分散嵌入在大小不一、功能多元、各具特色的专业楼宇、老旧建筑、工业厂房、特色街区之中。智能化是指借助智能化系统，对分布散落的城市基础设施、生活配套设施等予以整合管理，最终实现创新者无障碍交互，实现全产业链、各园区智能化协同。</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u w:val="none" w:color="auto"/>
          <w:lang w:val="en-US" w:eastAsia="zh-CN" w:bidi="ar-SA"/>
        </w:rPr>
      </w:pPr>
      <w:r>
        <w:rPr>
          <w:rFonts w:hint="eastAsia" w:ascii="仿宋_GB2312" w:hAnsi="仿宋_GB2312" w:eastAsia="仿宋_GB2312" w:cs="仿宋_GB2312"/>
          <w:b w:val="0"/>
          <w:bCs w:val="0"/>
          <w:color w:val="auto"/>
          <w:sz w:val="32"/>
          <w:szCs w:val="32"/>
          <w:u w:val="none" w:color="auto"/>
          <w:lang w:val="en-US" w:eastAsia="zh-CN"/>
        </w:rPr>
        <w:t>11.福田英才荟2.0：2019年7月，福田区委区政府印发《关于进一步实施“福田英才荟”若干措施的通知》，推出包括人才输入、人才成长、人才创新创业、河套深港科技创新合作区专项、人才综合服务等5个方面73条人才政策。</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12.PPP：</w:t>
      </w:r>
      <w:r>
        <w:rPr>
          <w:rFonts w:hint="eastAsia" w:ascii="仿宋_GB2312" w:hAnsi="仿宋_GB2312" w:eastAsia="仿宋_GB2312" w:cs="仿宋_GB2312"/>
          <w:b w:val="0"/>
          <w:bCs w:val="0"/>
          <w:color w:val="auto"/>
          <w:kern w:val="2"/>
          <w:sz w:val="32"/>
          <w:szCs w:val="32"/>
          <w:u w:val="none" w:color="auto"/>
          <w:lang w:val="en-US" w:eastAsia="zh-CN" w:bidi="ar-SA"/>
        </w:rPr>
        <w:t>政府和社会资本合作模式的简称，是指政府机构采取竞争方式选择社会机构，由社会机构负责基础设施类和公共服务类项目的投资、建设、运营，并获得合理收益的模式。</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yellow"/>
          <w:u w:val="none" w:color="auto"/>
          <w:lang w:val="en-US" w:eastAsia="zh-CN" w:bidi="ar-SA"/>
        </w:rPr>
      </w:pPr>
      <w:r>
        <w:rPr>
          <w:rFonts w:hint="eastAsia" w:ascii="仿宋_GB2312" w:hAnsi="仿宋_GB2312" w:eastAsia="仿宋_GB2312" w:cs="仿宋_GB2312"/>
          <w:b w:val="0"/>
          <w:bCs w:val="0"/>
          <w:color w:val="auto"/>
          <w:sz w:val="32"/>
          <w:szCs w:val="32"/>
          <w:u w:val="none" w:color="auto"/>
          <w:lang w:val="en-US" w:eastAsia="zh-CN"/>
        </w:rPr>
        <w:t>13.</w:t>
      </w:r>
      <w:r>
        <w:rPr>
          <w:rFonts w:hint="eastAsia" w:ascii="仿宋_GB2312" w:hAnsi="仿宋_GB2312" w:eastAsia="仿宋_GB2312" w:cs="仿宋_GB2312"/>
          <w:b w:val="0"/>
          <w:bCs w:val="0"/>
          <w:color w:val="auto"/>
          <w:kern w:val="2"/>
          <w:sz w:val="32"/>
          <w:szCs w:val="32"/>
          <w:highlight w:val="none"/>
          <w:u w:val="none" w:color="auto"/>
          <w:lang w:val="en-US" w:eastAsia="zh-CN" w:bidi="ar-SA"/>
        </w:rPr>
        <w:t>一窗通：在区行政服务大厅设立“企业开办专区”，提供企业注册、免费刻章、税务、社保等业务一站式咨询、申办以及营业执照、印章、发票和税控设备的一次性领取（含邮寄送达），实现一窗受理、一口出证、一次办结。</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14.十大民生福礼：</w:t>
      </w:r>
      <w:r>
        <w:rPr>
          <w:rFonts w:hint="eastAsia" w:ascii="仿宋_GB2312" w:hAnsi="仿宋_GB2312" w:eastAsia="仿宋_GB2312" w:cs="仿宋_GB2312"/>
          <w:b w:val="0"/>
          <w:bCs w:val="0"/>
          <w:sz w:val="32"/>
          <w:szCs w:val="32"/>
          <w:u w:val="none" w:color="auto"/>
        </w:rPr>
        <w:t>围绕优教、健康、颐养、安居、畅行、公园、环境、关爱、拥军、文体</w:t>
      </w:r>
      <w:r>
        <w:rPr>
          <w:rFonts w:hint="eastAsia" w:ascii="仿宋_GB2312" w:hAnsi="仿宋_GB2312" w:eastAsia="仿宋_GB2312" w:cs="仿宋_GB2312"/>
          <w:b w:val="0"/>
          <w:bCs w:val="0"/>
          <w:sz w:val="32"/>
          <w:szCs w:val="32"/>
          <w:u w:val="none" w:color="auto"/>
          <w:lang w:val="en-US" w:eastAsia="zh-CN"/>
        </w:rPr>
        <w:t>10</w:t>
      </w:r>
      <w:r>
        <w:rPr>
          <w:rFonts w:hint="eastAsia" w:ascii="仿宋_GB2312" w:hAnsi="仿宋_GB2312" w:eastAsia="仿宋_GB2312" w:cs="仿宋_GB2312"/>
          <w:b w:val="0"/>
          <w:bCs w:val="0"/>
          <w:sz w:val="32"/>
          <w:szCs w:val="32"/>
          <w:u w:val="none" w:color="auto"/>
          <w:lang w:eastAsia="zh-CN"/>
        </w:rPr>
        <w:t>个方面</w:t>
      </w:r>
      <w:r>
        <w:rPr>
          <w:rFonts w:hint="eastAsia" w:ascii="仿宋_GB2312" w:hAnsi="仿宋_GB2312" w:eastAsia="仿宋_GB2312" w:cs="仿宋_GB2312"/>
          <w:b w:val="0"/>
          <w:bCs w:val="0"/>
          <w:sz w:val="32"/>
          <w:szCs w:val="32"/>
          <w:u w:val="none" w:color="auto"/>
        </w:rPr>
        <w:t>推出</w:t>
      </w:r>
      <w:r>
        <w:rPr>
          <w:rFonts w:hint="eastAsia" w:ascii="仿宋_GB2312" w:hAnsi="仿宋_GB2312" w:eastAsia="仿宋_GB2312" w:cs="仿宋_GB2312"/>
          <w:b w:val="0"/>
          <w:bCs w:val="0"/>
          <w:sz w:val="32"/>
          <w:szCs w:val="32"/>
          <w:u w:val="none" w:color="auto"/>
          <w:lang w:eastAsia="zh-CN"/>
        </w:rPr>
        <w:t>的</w:t>
      </w:r>
      <w:r>
        <w:rPr>
          <w:rFonts w:hint="eastAsia" w:ascii="仿宋_GB2312" w:hAnsi="仿宋_GB2312" w:eastAsia="仿宋_GB2312" w:cs="仿宋_GB2312"/>
          <w:b w:val="0"/>
          <w:bCs w:val="0"/>
          <w:sz w:val="32"/>
          <w:szCs w:val="32"/>
          <w:u w:val="none" w:color="auto"/>
        </w:rPr>
        <w:t>惠民举措。</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15.双十工程：</w:t>
      </w:r>
      <w:r>
        <w:rPr>
          <w:rFonts w:hint="eastAsia" w:ascii="仿宋_GB2312" w:hAnsi="仿宋_GB2312" w:eastAsia="仿宋_GB2312" w:cs="仿宋_GB2312"/>
          <w:b w:val="0"/>
          <w:bCs w:val="0"/>
          <w:color w:val="auto"/>
          <w:sz w:val="32"/>
          <w:szCs w:val="32"/>
          <w:u w:val="none" w:color="auto"/>
        </w:rPr>
        <w:t>第一个“十”是指新建十所高科技预制学校，第二个“十”是指筹划建设十所高规格永久学校。</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16.5080：</w:t>
      </w:r>
      <w:r>
        <w:rPr>
          <w:rFonts w:hint="eastAsia" w:ascii="仿宋_GB2312" w:hAnsi="仿宋_GB2312" w:eastAsia="仿宋_GB2312" w:cs="仿宋_GB2312"/>
          <w:b w:val="0"/>
          <w:bCs w:val="0"/>
          <w:color w:val="auto"/>
          <w:sz w:val="32"/>
          <w:szCs w:val="32"/>
          <w:u w:val="none" w:color="auto"/>
        </w:rPr>
        <w:t>到2020年，基本实现学前教育普惠优质发展</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rPr>
        <w:t>公办幼儿园在园儿童占比达到50%，每个有条件的社区至少有1-2所公办幼儿园，公办幼儿园和普惠性民办幼儿园在园儿童占比达到80%以上。</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spacing w:val="2"/>
          <w:sz w:val="32"/>
          <w:szCs w:val="32"/>
          <w:u w:val="none" w:color="auto"/>
        </w:rPr>
      </w:pPr>
      <w:r>
        <w:rPr>
          <w:rFonts w:hint="eastAsia" w:ascii="仿宋_GB2312" w:hAnsi="仿宋_GB2312" w:eastAsia="仿宋_GB2312" w:cs="仿宋_GB2312"/>
          <w:b w:val="0"/>
          <w:bCs w:val="0"/>
          <w:color w:val="auto"/>
          <w:sz w:val="32"/>
          <w:szCs w:val="32"/>
          <w:u w:val="none" w:color="auto"/>
          <w:lang w:val="en-US" w:eastAsia="zh-CN"/>
        </w:rPr>
        <w:t>17.医联体5G+MEC项目：</w:t>
      </w:r>
      <w:r>
        <w:rPr>
          <w:rFonts w:hint="eastAsia" w:ascii="仿宋_GB2312" w:hAnsi="仿宋_GB2312" w:eastAsia="仿宋_GB2312" w:cs="仿宋_GB2312"/>
          <w:b w:val="0"/>
          <w:bCs w:val="0"/>
          <w:spacing w:val="2"/>
          <w:sz w:val="32"/>
          <w:szCs w:val="32"/>
          <w:u w:val="none" w:color="auto"/>
        </w:rPr>
        <w:t>率先部署医联体医疗专网，在实现全区医疗机构信息安全高效互通的基础上，完成5G远程急救、5G远程会诊、5G移动诊疗、5G社康急救指导、5G家庭病房等应用的探索和部署。</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8"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spacing w:val="2"/>
          <w:sz w:val="32"/>
          <w:szCs w:val="32"/>
          <w:u w:val="none" w:color="auto"/>
          <w:lang w:val="en-US" w:eastAsia="zh-CN"/>
        </w:rPr>
        <w:t>18.</w:t>
      </w:r>
      <w:r>
        <w:rPr>
          <w:rFonts w:hint="eastAsia" w:ascii="仿宋_GB2312" w:hAnsi="仿宋_GB2312" w:eastAsia="仿宋_GB2312" w:cs="仿宋_GB2312"/>
          <w:b w:val="0"/>
          <w:bCs w:val="0"/>
          <w:color w:val="auto"/>
          <w:sz w:val="32"/>
          <w:szCs w:val="32"/>
          <w:u w:val="none" w:color="auto"/>
          <w:lang w:eastAsia="zh-CN"/>
        </w:rPr>
        <w:t>福田超级联赛：以“动起来，超精彩”为主题，以“时尚的运动会</w:t>
      </w:r>
      <w:r>
        <w:rPr>
          <w:rFonts w:hint="eastAsia" w:ascii="仿宋_GB2312" w:hAnsi="仿宋_GB2312" w:eastAsia="仿宋_GB2312" w:cs="仿宋_GB2312"/>
          <w:b w:val="0"/>
          <w:bCs w:val="0"/>
          <w:color w:val="auto"/>
          <w:sz w:val="32"/>
          <w:szCs w:val="32"/>
          <w:u w:val="none" w:color="auto"/>
          <w:lang w:val="en-US" w:eastAsia="zh-CN"/>
        </w:rPr>
        <w:t xml:space="preserve"> </w:t>
      </w:r>
      <w:r>
        <w:rPr>
          <w:rFonts w:hint="eastAsia" w:ascii="仿宋_GB2312" w:hAnsi="仿宋_GB2312" w:eastAsia="仿宋_GB2312" w:cs="仿宋_GB2312"/>
          <w:b w:val="0"/>
          <w:bCs w:val="0"/>
          <w:color w:val="auto"/>
          <w:sz w:val="32"/>
          <w:szCs w:val="32"/>
          <w:u w:val="none" w:color="auto"/>
          <w:lang w:eastAsia="zh-CN"/>
        </w:rPr>
        <w:t>百姓的超级杯</w:t>
      </w:r>
      <w:r>
        <w:rPr>
          <w:rFonts w:hint="eastAsia" w:ascii="仿宋_GB2312" w:hAnsi="仿宋_GB2312" w:eastAsia="仿宋_GB2312" w:cs="仿宋_GB2312"/>
          <w:b w:val="0"/>
          <w:bCs w:val="0"/>
          <w:color w:val="auto"/>
          <w:sz w:val="32"/>
          <w:szCs w:val="32"/>
          <w:u w:val="none" w:color="auto"/>
          <w:lang w:val="en-US" w:eastAsia="zh-CN"/>
        </w:rPr>
        <w:t xml:space="preserve"> </w:t>
      </w:r>
      <w:r>
        <w:rPr>
          <w:rFonts w:hint="eastAsia" w:ascii="仿宋_GB2312" w:hAnsi="仿宋_GB2312" w:eastAsia="仿宋_GB2312" w:cs="仿宋_GB2312"/>
          <w:b w:val="0"/>
          <w:bCs w:val="0"/>
          <w:color w:val="auto"/>
          <w:sz w:val="32"/>
          <w:szCs w:val="32"/>
          <w:u w:val="none" w:color="auto"/>
          <w:lang w:eastAsia="zh-CN"/>
        </w:rPr>
        <w:t>身边的大明星”为理念，充分利用、深度整合现有群众体育、竞技体育、体育产业等资源，将此前分散、独立的单项赛事聚拢，全新打造的福田体育特色拳头品牌活动。自</w:t>
      </w:r>
      <w:r>
        <w:rPr>
          <w:rFonts w:hint="eastAsia" w:ascii="仿宋_GB2312" w:hAnsi="仿宋_GB2312" w:eastAsia="仿宋_GB2312" w:cs="仿宋_GB2312"/>
          <w:b w:val="0"/>
          <w:bCs w:val="0"/>
          <w:color w:val="auto"/>
          <w:sz w:val="32"/>
          <w:szCs w:val="32"/>
          <w:u w:val="none" w:color="auto"/>
          <w:lang w:val="en-US" w:eastAsia="zh-CN"/>
        </w:rPr>
        <w:t>2020年9月开幕以来，共计60万人次参与该系列赛事活动。</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u w:val="none" w:color="auto"/>
          <w:lang w:val="en-US" w:eastAsia="zh-CN" w:bidi="ar-SA"/>
        </w:rPr>
      </w:pPr>
      <w:r>
        <w:rPr>
          <w:rFonts w:hint="eastAsia" w:ascii="仿宋_GB2312" w:hAnsi="仿宋_GB2312" w:eastAsia="仿宋_GB2312" w:cs="仿宋_GB2312"/>
          <w:b w:val="0"/>
          <w:bCs w:val="0"/>
          <w:color w:val="auto"/>
          <w:sz w:val="32"/>
          <w:szCs w:val="32"/>
          <w:u w:val="none" w:color="auto"/>
          <w:lang w:val="en-US" w:eastAsia="zh-CN"/>
        </w:rPr>
        <w:t>19.全域治理：</w:t>
      </w:r>
      <w:r>
        <w:rPr>
          <w:rFonts w:hint="eastAsia" w:ascii="仿宋_GB2312" w:hAnsi="仿宋_GB2312" w:eastAsia="仿宋_GB2312" w:cs="仿宋_GB2312"/>
          <w:b w:val="0"/>
          <w:bCs w:val="0"/>
          <w:color w:val="auto"/>
          <w:kern w:val="2"/>
          <w:sz w:val="32"/>
          <w:szCs w:val="32"/>
          <w:u w:val="none" w:color="auto"/>
          <w:lang w:val="en-US" w:eastAsia="zh-CN" w:bidi="ar-SA"/>
        </w:rPr>
        <w:t>福田区治理领域工作的“总牵引”。以“全领域治理、全周期管理、全要素参与”的整体思路，通过更高层级的统筹和推动，优化整合辖区各部门资源，打破原有部门间的壁垒，激发市场、社会公众等多主体参与城区治理的潜力，积极采用大数据、物联网等智能化手段，积极探索超大型城市治理中心城区“新路子”。</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kern w:val="2"/>
          <w:sz w:val="32"/>
          <w:szCs w:val="32"/>
          <w:highlight w:val="none"/>
          <w:u w:val="none" w:color="auto"/>
          <w:lang w:val="en-US" w:eastAsia="zh-CN" w:bidi="ar-SA"/>
        </w:rPr>
        <w:t>20.</w:t>
      </w:r>
      <w:r>
        <w:rPr>
          <w:rFonts w:hint="eastAsia" w:ascii="仿宋_GB2312" w:hAnsi="仿宋_GB2312" w:eastAsia="仿宋_GB2312" w:cs="仿宋_GB2312"/>
          <w:b w:val="0"/>
          <w:bCs w:val="0"/>
          <w:color w:val="auto"/>
          <w:sz w:val="32"/>
          <w:szCs w:val="32"/>
          <w:highlight w:val="none"/>
          <w:u w:val="none" w:color="auto"/>
          <w:lang w:val="en-US" w:eastAsia="zh-CN"/>
        </w:rPr>
        <w:t>十大专项行动：垃圾分类、“门前三包”、农产品市场升级改造、“厕所革命”、无障碍城市、《深圳经济特区文明行为条例》执法普法、志愿者服务、校园周边环境综合治理、文明交通、市级单位协调管理等十个专项行动。</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21.十大品牌活动：创办“福田文明学院”“福田区文明行动月”“周六创文日”“福田最美”系列评选、关爱行动、“文明第一课”、全国文明校园创建、爱国主义教育、公民思想道德教育、儿童友好型城市等十个品牌活动。</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rPr>
        <w:t>22.文明学院：成立于2020年9月，针对全体市民打造的以解读文明、弘扬文明、实践文明为目的的公益性教育宣传阵地，是全国首座线上线下交互式城市学院。“福田文明学院”以福田区图书馆为核心基地，以10个街道党群服务中心作为分院，以各文明单位、文化场馆、线上课堂作为系列虚拟课堂，构建3级教育平台。文明学院导师主要由文化名人、道德模范、福田区各领域的专家等组成，目前共有特聘导师13人，已开设课程近百堂。</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highlight w:val="none"/>
          <w:u w:val="none" w:color="auto"/>
          <w:lang w:val="en-US" w:eastAsia="zh-CN" w:bidi="ar"/>
        </w:rPr>
        <w:t>23.福华路</w:t>
      </w:r>
      <w:r>
        <w:rPr>
          <w:rFonts w:hint="eastAsia" w:ascii="仿宋_GB2312" w:hAnsi="仿宋_GB2312" w:eastAsia="仿宋_GB2312" w:cs="仿宋_GB2312"/>
          <w:b w:val="0"/>
          <w:bCs w:val="0"/>
          <w:sz w:val="32"/>
          <w:szCs w:val="32"/>
          <w:highlight w:val="none"/>
          <w:u w:val="none" w:color="auto"/>
          <w:lang w:eastAsia="zh-CN"/>
        </w:rPr>
        <w:t>“</w:t>
      </w:r>
      <w:r>
        <w:rPr>
          <w:rFonts w:hint="eastAsia" w:ascii="仿宋_GB2312" w:hAnsi="仿宋_GB2312" w:eastAsia="仿宋_GB2312" w:cs="仿宋_GB2312"/>
          <w:b w:val="0"/>
          <w:bCs w:val="0"/>
          <w:sz w:val="32"/>
          <w:szCs w:val="32"/>
          <w:highlight w:val="none"/>
          <w:u w:val="none" w:color="auto"/>
        </w:rPr>
        <w:t>节日大道</w:t>
      </w:r>
      <w:r>
        <w:rPr>
          <w:rFonts w:hint="eastAsia" w:ascii="仿宋_GB2312" w:hAnsi="仿宋_GB2312" w:eastAsia="仿宋_GB2312" w:cs="仿宋_GB2312"/>
          <w:b w:val="0"/>
          <w:bCs w:val="0"/>
          <w:sz w:val="32"/>
          <w:szCs w:val="32"/>
          <w:highlight w:val="none"/>
          <w:u w:val="none" w:color="auto"/>
          <w:lang w:eastAsia="zh-CN"/>
        </w:rPr>
        <w:t>”：</w:t>
      </w:r>
      <w:r>
        <w:rPr>
          <w:rFonts w:hint="eastAsia" w:ascii="仿宋_GB2312" w:hAnsi="仿宋_GB2312" w:eastAsia="仿宋_GB2312" w:cs="仿宋_GB2312"/>
          <w:b w:val="0"/>
          <w:bCs w:val="0"/>
          <w:color w:val="auto"/>
          <w:sz w:val="32"/>
          <w:szCs w:val="32"/>
          <w:u w:val="none" w:color="auto"/>
          <w:lang w:val="en-US" w:eastAsia="zh-CN"/>
        </w:rPr>
        <w:t>以福华路现有商场、商圈为基础，打造“深圳节日大道”，通过注入艺术、文化、展览、音乐、运动等多样优质活动和时尚元素，并与周围商圈联动，建成世界级景观和体验消费集中地，打造出一条国际级的时尚街区和充满节日氛围的欢乐大道。</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eastAsia="zh-CN"/>
        </w:rPr>
      </w:pPr>
      <w:r>
        <w:rPr>
          <w:rFonts w:hint="eastAsia" w:ascii="仿宋_GB2312" w:hAnsi="仿宋_GB2312" w:eastAsia="仿宋_GB2312" w:cs="仿宋_GB2312"/>
          <w:b w:val="0"/>
          <w:bCs w:val="0"/>
          <w:sz w:val="32"/>
          <w:szCs w:val="32"/>
          <w:highlight w:val="none"/>
          <w:u w:val="none" w:color="auto"/>
          <w:lang w:val="en-US" w:eastAsia="zh-CN"/>
        </w:rPr>
        <w:t>24.</w:t>
      </w:r>
      <w:r>
        <w:rPr>
          <w:rFonts w:hint="eastAsia" w:ascii="仿宋_GB2312" w:hAnsi="仿宋_GB2312" w:eastAsia="仿宋_GB2312" w:cs="仿宋_GB2312"/>
          <w:b w:val="0"/>
          <w:bCs w:val="0"/>
          <w:sz w:val="32"/>
          <w:szCs w:val="32"/>
          <w:highlight w:val="none"/>
          <w:u w:val="none" w:color="auto"/>
          <w:lang w:eastAsia="zh-CN"/>
        </w:rPr>
        <w:t>互联网+明厨亮灶：</w:t>
      </w:r>
      <w:r>
        <w:rPr>
          <w:rFonts w:hint="eastAsia" w:ascii="仿宋_GB2312" w:hAnsi="仿宋_GB2312" w:eastAsia="仿宋_GB2312" w:cs="仿宋_GB2312"/>
          <w:b w:val="0"/>
          <w:bCs w:val="0"/>
          <w:color w:val="auto"/>
          <w:sz w:val="32"/>
          <w:szCs w:val="32"/>
          <w:u w:val="none" w:color="auto"/>
          <w:lang w:eastAsia="zh-CN"/>
        </w:rPr>
        <w:t>在餐饮服务单位的食品加工制作区域安装视频监控设备，通过互联网采集食品加工制作过程图像数据、集成应用，实现餐饮服务单位基础信息、加工过程信息和监管信息“阳光”可视化公开。</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25.</w:t>
      </w:r>
      <w:r>
        <w:rPr>
          <w:rFonts w:hint="eastAsia" w:ascii="仿宋_GB2312" w:hAnsi="仿宋_GB2312" w:eastAsia="仿宋_GB2312" w:cs="仿宋_GB2312"/>
          <w:b w:val="0"/>
          <w:bCs w:val="0"/>
          <w:color w:val="auto"/>
          <w:spacing w:val="0"/>
          <w:sz w:val="32"/>
          <w:szCs w:val="32"/>
          <w:highlight w:val="none"/>
          <w:u w:val="none" w:color="auto"/>
          <w:lang w:val="en-US" w:eastAsia="zh-CN"/>
        </w:rPr>
        <w:t>“安心外卖”“安心餐饮”品牌：</w:t>
      </w:r>
      <w:r>
        <w:rPr>
          <w:rFonts w:hint="eastAsia" w:ascii="仿宋_GB2312" w:hAnsi="仿宋_GB2312" w:eastAsia="仿宋_GB2312" w:cs="仿宋_GB2312"/>
          <w:b w:val="0"/>
          <w:bCs w:val="0"/>
          <w:color w:val="auto"/>
          <w:sz w:val="32"/>
          <w:szCs w:val="32"/>
          <w:highlight w:val="none"/>
          <w:u w:val="none" w:color="auto"/>
          <w:lang w:eastAsia="zh-CN"/>
        </w:rPr>
        <w:t>“安心外卖”是指</w:t>
      </w:r>
      <w:r>
        <w:rPr>
          <w:rFonts w:hint="eastAsia" w:ascii="仿宋_GB2312" w:hAnsi="仿宋_GB2312" w:eastAsia="仿宋_GB2312" w:cs="仿宋_GB2312"/>
          <w:b w:val="0"/>
          <w:bCs w:val="0"/>
          <w:color w:val="auto"/>
          <w:sz w:val="32"/>
          <w:szCs w:val="32"/>
          <w:highlight w:val="none"/>
          <w:u w:val="none" w:color="auto"/>
        </w:rPr>
        <w:t>联合美团外卖、饿了么、糯米等本地生活平台，对福田区餐饮企业外卖发起食安封签行动，即每一份外卖包装均贴上“封签”</w:t>
      </w:r>
      <w:r>
        <w:rPr>
          <w:rFonts w:hint="eastAsia" w:ascii="仿宋_GB2312" w:hAnsi="仿宋_GB2312" w:eastAsia="仿宋_GB2312" w:cs="仿宋_GB2312"/>
          <w:b w:val="0"/>
          <w:bCs w:val="0"/>
          <w:color w:val="auto"/>
          <w:sz w:val="32"/>
          <w:szCs w:val="32"/>
          <w:highlight w:val="none"/>
          <w:u w:val="none" w:color="auto"/>
          <w:lang w:eastAsia="zh-CN"/>
        </w:rPr>
        <w:t>，</w:t>
      </w:r>
      <w:r>
        <w:rPr>
          <w:rFonts w:hint="eastAsia" w:ascii="仿宋_GB2312" w:hAnsi="仿宋_GB2312" w:eastAsia="仿宋_GB2312" w:cs="仿宋_GB2312"/>
          <w:b w:val="0"/>
          <w:bCs w:val="0"/>
          <w:color w:val="auto"/>
          <w:sz w:val="32"/>
          <w:szCs w:val="32"/>
          <w:highlight w:val="none"/>
          <w:u w:val="none" w:color="auto"/>
        </w:rPr>
        <w:t>让消费者安心食用。</w:t>
      </w:r>
      <w:r>
        <w:rPr>
          <w:rFonts w:hint="eastAsia" w:ascii="仿宋_GB2312" w:hAnsi="仿宋_GB2312" w:eastAsia="仿宋_GB2312" w:cs="仿宋_GB2312"/>
          <w:b w:val="0"/>
          <w:bCs w:val="0"/>
          <w:color w:val="auto"/>
          <w:sz w:val="32"/>
          <w:szCs w:val="32"/>
          <w:highlight w:val="none"/>
          <w:u w:val="none" w:color="auto"/>
          <w:lang w:eastAsia="zh-CN"/>
        </w:rPr>
        <w:t>“安心餐饮”是指</w:t>
      </w:r>
      <w:r>
        <w:rPr>
          <w:rFonts w:hint="eastAsia" w:ascii="仿宋_GB2312" w:hAnsi="仿宋_GB2312" w:eastAsia="仿宋_GB2312" w:cs="仿宋_GB2312"/>
          <w:b w:val="0"/>
          <w:bCs w:val="0"/>
          <w:color w:val="auto"/>
          <w:sz w:val="32"/>
          <w:szCs w:val="32"/>
          <w:highlight w:val="none"/>
          <w:u w:val="none" w:color="auto"/>
        </w:rPr>
        <w:t>线上线下全面宣传，引导餐饮企业规范经菅，制作线上线下两款“福田美食地图”，在车站、星级酒店等场所向本地消费者和过境人群精准推送，提高福田美食品牌分布情况在消费者中的到达率。</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26.容缺办理：企业和群众办事出现非关键性材料欠缺的情况时，可填写容缺免跑腿信封上的诚信承诺书后，实行容缺受理，审批工作照常进行。事后申请人可将所缺材料装至该信封，并通过邮递的方式送达至办事窗口。</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27.监管沙盒：</w:t>
      </w:r>
      <w:r>
        <w:rPr>
          <w:rFonts w:hint="eastAsia" w:ascii="仿宋_GB2312" w:hAnsi="仿宋_GB2312" w:eastAsia="仿宋_GB2312" w:cs="仿宋_GB2312"/>
          <w:b w:val="0"/>
          <w:bCs w:val="0"/>
          <w:i w:val="0"/>
          <w:iCs w:val="0"/>
          <w:caps w:val="0"/>
          <w:color w:val="auto"/>
          <w:spacing w:val="0"/>
          <w:sz w:val="32"/>
          <w:szCs w:val="32"/>
          <w:u w:val="none" w:color="auto"/>
          <w:shd w:val="clear" w:color="auto" w:fill="FFFFFF"/>
        </w:rPr>
        <w:t>在特定范围内，金融机构与金融科技企业可以测试其创新的金融产品、服务、商业模式和营销方式，而不用在相关活动碰到问题时立即受到监管规则的约束。试点的主要目的是帮助金融创新在实际生活场景中进行测试，而这种测试不能对消费者造成损害，且应遵守必要的法律规定</w:t>
      </w:r>
      <w:r>
        <w:rPr>
          <w:rFonts w:hint="eastAsia" w:hAnsi="仿宋_GB2312" w:cs="仿宋_GB2312"/>
          <w:b w:val="0"/>
          <w:bCs w:val="0"/>
          <w:i w:val="0"/>
          <w:iCs w:val="0"/>
          <w:caps w:val="0"/>
          <w:color w:val="auto"/>
          <w:spacing w:val="0"/>
          <w:sz w:val="32"/>
          <w:szCs w:val="32"/>
          <w:u w:val="none" w:color="auto"/>
          <w:shd w:val="clear" w:color="auto" w:fill="FFFFFF"/>
          <w:lang w:eastAsia="zh-CN"/>
        </w:rPr>
        <w:t>。</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28.一中心五平台N应用：“一中心”指福田区智慧城市指挥中心，定位为“城区大脑”，具有事件分拨、应急联动、风险监测、数据共享、辅助决策、质量核查、可视化展示等功能；“五平台”指依托福田区智慧城市指挥中心，构建预警监测平台、综合治理平台、决策支持平台、公共服务平台、基础技术平台五个平台；“N应用”指以五大平台为载体，开发“N”个应用系统，支持社会治理、公共服务、公共安全、经济产业、生态环境等领域的发展。</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29.物业城市：将城市整体作为一个“大物业”，通过“专业服务+智慧平台+全域治理”深度融合的方式，对城市公共空间与公共资源、公共项目进行全流程“管理+服务+运营”。</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30.韧性健康城区：以人为本构建城区各级系统，通过建立自免疫、自适应和自修复的发展机制，从城区的空间结构、经济结构、社会结构的规划、建设、管理等各个方面保障广大市民健康生活和工作，确保城区在遭受不确定或突发城市灾害时能够快速分散风险，最大程度地降低外界因素产生的冲击与干扰，推动城区健康有序发展。</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31.</w:t>
      </w:r>
      <w:r>
        <w:rPr>
          <w:rFonts w:hint="eastAsia" w:ascii="仿宋_GB2312" w:hAnsi="仿宋_GB2312" w:eastAsia="仿宋_GB2312" w:cs="仿宋_GB2312"/>
          <w:b w:val="0"/>
          <w:bCs w:val="0"/>
          <w:color w:val="auto"/>
          <w:sz w:val="32"/>
          <w:szCs w:val="32"/>
          <w:u w:val="none" w:color="auto"/>
        </w:rPr>
        <w:t>“三基”建设：福田区结合辖区实际和基层安全生产管理经验，为推动解决安全管理存在的本质安全缺失、主体责任缺失、末梢管理缺失，探索推进“狠抓基层建设、强化基础工作、苦练基本功”“三基”工作。</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32.</w:t>
      </w:r>
      <w:r>
        <w:rPr>
          <w:rFonts w:hint="eastAsia" w:ascii="仿宋_GB2312" w:hAnsi="仿宋_GB2312" w:eastAsia="仿宋_GB2312" w:cs="仿宋_GB2312"/>
          <w:b w:val="0"/>
          <w:bCs w:val="0"/>
          <w:color w:val="auto"/>
          <w:sz w:val="32"/>
          <w:szCs w:val="32"/>
          <w:u w:val="none" w:color="auto"/>
        </w:rPr>
        <w:t>“1、3、5”基层应急体系</w:t>
      </w:r>
      <w:r>
        <w:rPr>
          <w:rFonts w:hint="eastAsia" w:ascii="仿宋_GB2312" w:hAnsi="仿宋_GB2312" w:eastAsia="仿宋_GB2312" w:cs="仿宋_GB2312"/>
          <w:b w:val="0"/>
          <w:bCs w:val="0"/>
          <w:color w:val="auto"/>
          <w:sz w:val="32"/>
          <w:szCs w:val="32"/>
          <w:u w:val="none" w:color="auto"/>
          <w:lang w:val="en-US" w:eastAsia="zh-CN"/>
        </w:rPr>
        <w:t>：“1”是指</w:t>
      </w:r>
      <w:r>
        <w:rPr>
          <w:rFonts w:hint="eastAsia" w:ascii="仿宋_GB2312" w:hAnsi="仿宋_GB2312" w:eastAsia="仿宋_GB2312" w:cs="仿宋_GB2312"/>
          <w:b w:val="0"/>
          <w:bCs w:val="0"/>
          <w:color w:val="auto"/>
          <w:sz w:val="32"/>
          <w:szCs w:val="32"/>
          <w:u w:val="none" w:color="auto"/>
        </w:rPr>
        <w:t>1分钟企业义务应急队伍到场处置成功</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lang w:val="en-US" w:eastAsia="zh-CN"/>
        </w:rPr>
        <w:t>3”是指</w:t>
      </w:r>
      <w:r>
        <w:rPr>
          <w:rFonts w:hint="eastAsia" w:ascii="仿宋_GB2312" w:hAnsi="仿宋_GB2312" w:eastAsia="仿宋_GB2312" w:cs="仿宋_GB2312"/>
          <w:b w:val="0"/>
          <w:bCs w:val="0"/>
          <w:color w:val="auto"/>
          <w:sz w:val="32"/>
          <w:szCs w:val="32"/>
          <w:u w:val="none" w:color="auto"/>
        </w:rPr>
        <w:t>3分钟城中村、小型消防站队伍到场处置成功</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lang w:val="en-US" w:eastAsia="zh-CN"/>
        </w:rPr>
        <w:t>5”是指</w:t>
      </w:r>
      <w:r>
        <w:rPr>
          <w:rFonts w:hint="eastAsia" w:ascii="仿宋_GB2312" w:hAnsi="仿宋_GB2312" w:eastAsia="仿宋_GB2312" w:cs="仿宋_GB2312"/>
          <w:b w:val="0"/>
          <w:bCs w:val="0"/>
          <w:color w:val="auto"/>
          <w:sz w:val="32"/>
          <w:szCs w:val="32"/>
          <w:u w:val="none" w:color="auto"/>
        </w:rPr>
        <w:t>5分钟公安消防综合应急救援力量到场处置成功。</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33.三到位一处理：诉求合理的解决问题到位、诉求无理的思想教育到位、生活困难的帮扶救助到位、行为违法的依法处理。</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val="0"/>
          <w:bCs w:val="0"/>
          <w:color w:val="auto"/>
          <w:sz w:val="32"/>
          <w:szCs w:val="32"/>
          <w:u w:val="none" w:color="auto"/>
          <w:lang w:val="en-US" w:eastAsia="zh-CN"/>
        </w:rPr>
        <w:t>34.“智慧矫正”系统：运用“互联网+大数据”的信息化手段，对案件进行审批、在线分配、值班安排、案件评估等功能，实现对法律援助工作全流程管理的智能系统。</w:t>
      </w:r>
    </w:p>
    <w:p>
      <w:pPr>
        <w:keepNext w:val="0"/>
        <w:keepLines w:val="0"/>
        <w:pageBreakBefore w:val="0"/>
        <w:widowControl w:val="0"/>
        <w:numPr>
          <w:ilvl w:val="0"/>
          <w:numId w:val="0"/>
        </w:numPr>
        <w:pBdr>
          <w:bottom w:val="none" w:color="auto" w:sz="0" w:space="21"/>
        </w:pBdr>
        <w:kinsoku/>
        <w:wordWrap/>
        <w:overflowPunct/>
        <w:topLinePunct w:val="0"/>
        <w:autoSpaceDE/>
        <w:autoSpaceDN w:val="0"/>
        <w:bidi w:val="0"/>
        <w:adjustRightInd w:val="0"/>
        <w:snapToGrid w:val="0"/>
        <w:spacing w:line="579"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auto"/>
          <w:sz w:val="32"/>
          <w:szCs w:val="32"/>
          <w:u w:val="none" w:color="auto"/>
          <w:lang w:val="en-US" w:eastAsia="zh-CN"/>
        </w:rPr>
        <w:t>35.“馨援在线”系统：运用现代信息技术构建“小程序-福田智慧矫正”平台，开展监督管理和教育帮扶，实现远程管控，建立社区矫正信息管理数据库，依法与有关部门实现信息共享。</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270F5"/>
    <w:rsid w:val="02427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2021-02-01T09:46:00Z</dcterms:created>
  <dc:creator>-Jus</dc:creator>
  <cp:lastModifiedBy>-Jus</cp:lastModifiedBy>
  <dcterms:modified xsi:type="dcterms:W3CDTF">2021-02-01T09:47:52Z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