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  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  <w:t>执法检查发现问题清单</w:t>
      </w:r>
    </w:p>
    <w:tbl>
      <w:tblPr>
        <w:tblStyle w:val="6"/>
        <w:tblW w:w="13455" w:type="dxa"/>
        <w:jc w:val="center"/>
        <w:tblInd w:w="-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0"/>
        <w:gridCol w:w="10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类    别</w:t>
            </w:r>
          </w:p>
        </w:tc>
        <w:tc>
          <w:tcPr>
            <w:tcW w:w="10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普法宣传需要加强</w:t>
            </w:r>
          </w:p>
        </w:tc>
        <w:tc>
          <w:tcPr>
            <w:tcW w:w="10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shd w:val="clear" w:color="auto" w:fill="FFFFFF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shd w:val="clear" w:color="auto" w:fill="FFFFFF"/>
                <w:rtl w:val="0"/>
                <w:lang w:val="en-US" w:eastAsia="zh-CN"/>
              </w:rPr>
              <w:t>1、市民群众对《条例》知晓度低，市民群众对《条例》的了解不够全面，其内容尚未被周知，参与度有待提高。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阅读设施布局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不均衡</w:t>
            </w:r>
          </w:p>
        </w:tc>
        <w:tc>
          <w:tcPr>
            <w:tcW w:w="10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shd w:val="clear" w:color="auto" w:fill="FFFFFF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shd w:val="clear" w:color="auto" w:fill="FFFFFF"/>
                <w:rtl w:val="0"/>
                <w:lang w:val="en-US" w:eastAsia="zh-CN"/>
              </w:rPr>
              <w:t>2、大型企业和楼宇、园区职工集中且阅读需求多样，但较少或缺少如自助借书机、楼宇图书室等公共阅读资源。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shd w:val="clear" w:color="auto" w:fill="FFFFFF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shd w:val="clear" w:color="auto" w:fill="FFFFFF"/>
                <w:rtl w:val="0"/>
                <w:lang w:val="en-US" w:eastAsia="zh-CN"/>
              </w:rPr>
              <w:t>3、部分大型小区无专门的小区图书馆，32.8%的调查对象没发现新建小区有相关配套阅读设施，难以满足周边居民阅读需求。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阅读推广形式不够丰富</w:t>
            </w:r>
          </w:p>
        </w:tc>
        <w:tc>
          <w:tcPr>
            <w:tcW w:w="10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shd w:val="clear" w:color="auto" w:fill="FFFFFF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shd w:val="clear" w:color="auto" w:fill="FFFFFF"/>
                <w:rtl w:val="0"/>
                <w:lang w:val="en-US" w:eastAsia="zh-CN"/>
              </w:rPr>
              <w:t>4、当前我区开展的阅读促进活动主要集中在校园和社区，超过9成的调查对象通过图书馆、学校参加读者交流活动，仅7.8%调查对象参加“阅读进企业”活动，且大多集中在“读书月”期间，以讲座、分享会的形式为主，形式单一长久以往难以持续吸引居民群众，参与积极性不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3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shd w:val="clear" w:color="auto" w:fill="FFFFFF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shd w:val="clear" w:color="auto" w:fill="FFFFFF"/>
                <w:rtl w:val="0"/>
                <w:lang w:val="en-US" w:eastAsia="zh-CN"/>
              </w:rPr>
              <w:t>5、电子阅读碎片化问题突出，公众通过电子产品系统性获取知识的渠道方法不多，亟需政府相关部门予以引导和推动。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zh-CN" w:eastAsia="zh-CN"/>
              </w:rPr>
              <w:t>阅读服务水平有待提高</w:t>
            </w:r>
          </w:p>
        </w:tc>
        <w:tc>
          <w:tcPr>
            <w:tcW w:w="10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、全区公共图书馆服务水平不平衡，总馆和分馆服务效能水平差距明显。部分社区图书馆存在“重建设轻服务”现象，未以居民需求为导向找准功能定位，藏书数量较少、类别单一、更新不够及时，对周边居民的影响力比较有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7、在图书馆队伍建设方面，专业技术人员短缺，部分街道、社区图书馆的管理人员多为义工或临聘人员等非专业人士，不擅长书籍管理和阅读推广工作，整体服务效能亟待提升。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zh-CN" w:eastAsia="zh-CN"/>
              </w:rPr>
              <w:t>阅读质量有待提升</w:t>
            </w:r>
          </w:p>
        </w:tc>
        <w:tc>
          <w:tcPr>
            <w:tcW w:w="10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shd w:val="clear" w:color="auto" w:fill="FFFFFF"/>
                <w:rtl w:val="0"/>
                <w:lang w:val="en-US" w:eastAsia="zh-CN"/>
              </w:rPr>
              <w:t>8、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shd w:val="clear" w:color="auto" w:fill="FFFFFF"/>
                <w:rtl w:val="0"/>
                <w:lang w:val="zh-CN" w:eastAsia="zh-CN"/>
              </w:rPr>
              <w:t>分类指导不足。对不同读者群体的阅读需求调研了解不够，未能有针对性地细化阅读指导，一定程度上影响了阅读质量。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shd w:val="clear" w:color="auto" w:fill="FFFFFF"/>
                <w:rtl w:val="0"/>
                <w:lang w:val="en-US" w:eastAsia="zh-CN"/>
              </w:rPr>
              <w:t>9、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shd w:val="clear" w:color="auto" w:fill="FFFFFF"/>
                <w:rtl w:val="0"/>
                <w:lang w:val="zh-CN" w:eastAsia="zh-CN"/>
              </w:rPr>
              <w:t>阅读成果转化不够。目前参与全民阅读的市民群体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shd w:val="clear" w:color="auto" w:fill="FFFFFF"/>
                <w:rtl w:val="0"/>
                <w:lang w:val="en-US" w:eastAsia="zh-CN"/>
              </w:rPr>
              <w:t>基数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shd w:val="clear" w:color="auto" w:fill="FFFFFF"/>
                <w:rtl w:val="0"/>
                <w:lang w:val="zh-CN" w:eastAsia="zh-CN"/>
              </w:rPr>
              <w:t>大，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shd w:val="clear" w:color="auto" w:fill="FFFFFF"/>
                <w:rtl w:val="0"/>
                <w:lang w:val="en-US" w:eastAsia="zh-CN"/>
              </w:rPr>
              <w:t>但对阅读更多的只停留在“兴趣”层面，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shd w:val="clear" w:color="auto" w:fill="FFFFFF"/>
                <w:rtl w:val="0"/>
                <w:lang w:val="zh-CN" w:eastAsia="zh-CN"/>
              </w:rPr>
              <w:t>在阅读基础上的创作、成果转化较少，阅读的成果、创作的作品需要进一步地激发和引导，推动成果转化的机制体制仍需进一步建立健全。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shd w:val="clear" w:color="auto" w:fill="FFFFFF"/>
                <w:rtl w:val="0"/>
                <w:lang w:val="en-US" w:eastAsia="zh-CN"/>
              </w:rPr>
              <w:t>10、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shd w:val="clear" w:color="auto" w:fill="FFFFFF"/>
                <w:rtl w:val="0"/>
                <w:lang w:val="zh-CN" w:eastAsia="zh-CN"/>
              </w:rPr>
              <w:t>目前已经组织开展区中小学生阅读调查，但尚未开展阅读水平测试和向社会发布中小学生阅读水平情况报告。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286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光通心圆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隶书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隶变_CNKI">
    <w:panose1 w:val="02000500000000000000"/>
    <w:charset w:val="86"/>
    <w:family w:val="auto"/>
    <w:pitch w:val="default"/>
    <w:sig w:usb0="800002BF" w:usb1="38CF7CFA" w:usb2="00000016" w:usb3="00000000" w:csb0="0004000F" w:csb1="00000000"/>
  </w:font>
  <w:font w:name="华光魏体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黑体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黑变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光超粗黑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行书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粗黑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粗圆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全新硬笔行书简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华光中圆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锐字工房云字库小标宋GBK">
    <w:altName w:val="宋体"/>
    <w:panose1 w:val="02010604000000000000"/>
    <w:charset w:val="86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00117"/>
    <w:rsid w:val="2C436EC7"/>
    <w:rsid w:val="5D00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/>
      <w:ind w:firstLine="200" w:firstLineChars="200"/>
      <w:outlineLvl w:val="0"/>
    </w:pPr>
    <w:rPr>
      <w:rFonts w:ascii="Cambria" w:hAnsi="Cambria" w:eastAsia="宋体" w:cs="Times New Roman"/>
      <w:color w:val="365F91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2020-08-13T06:34:00Z</dcterms:created>
  <dc:creator>杨静铭</dc:creator>
  <cp:lastModifiedBy>杨静铭</cp:lastModifiedBy>
  <dcterms:modified xsi:type="dcterms:W3CDTF">2020-08-13T06:34:22Z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