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AC3" w:rsidRPr="00B179E1" w:rsidRDefault="00AE7AC3" w:rsidP="00AE7AC3">
      <w:pPr>
        <w:pStyle w:val="a4"/>
        <w:widowControl/>
        <w:shd w:val="clear" w:color="auto" w:fill="FFFFFF"/>
        <w:spacing w:before="0" w:beforeAutospacing="0" w:after="375" w:afterAutospacing="0" w:line="320" w:lineRule="exact"/>
        <w:ind w:firstLine="640"/>
        <w:jc w:val="both"/>
        <w:rPr>
          <w:rFonts w:ascii="黑体" w:eastAsia="黑体" w:hAnsi="黑体" w:cs="黑体" w:hint="eastAsia"/>
          <w:bCs/>
          <w:sz w:val="32"/>
          <w:szCs w:val="32"/>
          <w:shd w:val="clear" w:color="auto" w:fill="FFFFFF"/>
        </w:rPr>
      </w:pPr>
      <w:r w:rsidRPr="00B179E1">
        <w:rPr>
          <w:rFonts w:ascii="黑体" w:eastAsia="黑体" w:hAnsi="黑体" w:cs="黑体" w:hint="eastAsia"/>
          <w:bCs/>
          <w:sz w:val="32"/>
          <w:szCs w:val="32"/>
          <w:shd w:val="clear" w:color="auto" w:fill="FFFFFF"/>
        </w:rPr>
        <w:t>附件二：</w:t>
      </w:r>
    </w:p>
    <w:p w:rsidR="00AE7AC3" w:rsidRPr="00B179E1" w:rsidRDefault="00AE7AC3" w:rsidP="00AE7AC3">
      <w:pPr>
        <w:pStyle w:val="a4"/>
        <w:widowControl/>
        <w:shd w:val="clear" w:color="auto" w:fill="FFFFFF"/>
        <w:spacing w:before="0" w:beforeAutospacing="0" w:after="375" w:afterAutospacing="0" w:line="320" w:lineRule="exact"/>
        <w:ind w:firstLine="640"/>
        <w:jc w:val="center"/>
        <w:rPr>
          <w:rFonts w:ascii="黑体" w:eastAsia="黑体" w:hAnsi="黑体" w:cs="黑体" w:hint="eastAsia"/>
          <w:bCs/>
          <w:sz w:val="32"/>
          <w:szCs w:val="32"/>
          <w:shd w:val="clear" w:color="auto" w:fill="FFFFFF"/>
        </w:rPr>
      </w:pPr>
      <w:bookmarkStart w:id="0" w:name="_GoBack"/>
      <w:r w:rsidRPr="00B179E1">
        <w:rPr>
          <w:rFonts w:ascii="黑体" w:eastAsia="黑体" w:hAnsi="黑体" w:cs="黑体" w:hint="eastAsia"/>
          <w:bCs/>
          <w:sz w:val="32"/>
          <w:szCs w:val="32"/>
          <w:shd w:val="clear" w:color="auto" w:fill="FFFFFF"/>
        </w:rPr>
        <w:t>福田区2016-2020年文体事业发展重大项目表</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firstRow="0" w:lastRow="0" w:firstColumn="0" w:lastColumn="0" w:noHBand="0" w:noVBand="0"/>
      </w:tblPr>
      <w:tblGrid>
        <w:gridCol w:w="923"/>
        <w:gridCol w:w="2130"/>
        <w:gridCol w:w="5917"/>
      </w:tblGrid>
      <w:tr w:rsidR="00AE7AC3" w:rsidTr="00065870">
        <w:trPr>
          <w:trHeight w:val="330"/>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tcPr>
          <w:bookmarkEnd w:id="0"/>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序号</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项目名称</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建设内容</w:t>
            </w:r>
          </w:p>
        </w:tc>
      </w:tr>
      <w:tr w:rsidR="00AE7AC3" w:rsidTr="00065870">
        <w:trPr>
          <w:trHeight w:val="2389"/>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1</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探索文化治理新模式</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AE7AC3">
            <w:pPr>
              <w:pStyle w:val="a4"/>
              <w:widowControl/>
              <w:spacing w:before="0" w:beforeAutospacing="0" w:after="0" w:afterAutospacing="0" w:line="350" w:lineRule="exact"/>
              <w:ind w:firstLineChars="200" w:firstLine="480"/>
              <w:jc w:val="both"/>
              <w:rPr>
                <w:rFonts w:ascii="仿宋_GB2312" w:hAnsi="仿宋" w:cs="仿宋" w:hint="eastAsia"/>
                <w:szCs w:val="24"/>
              </w:rPr>
            </w:pPr>
            <w:r w:rsidRPr="00350563">
              <w:rPr>
                <w:rFonts w:ascii="仿宋_GB2312" w:hAnsi="仿宋" w:cs="仿宋" w:hint="eastAsia"/>
                <w:szCs w:val="24"/>
              </w:rPr>
              <w:t>深入推进文化议事会、文化场馆理事会等文化改革项目，从文化决策、执行、监督层面探索文化体制机制的有效突破，进一步实现文化议事的常态化、规范化运行，切实保障文化议员的审议权、表决权、建议权和质询权，推动文化议事决策实现成果转化，最终形成“文化决策全程把控、文化执行全程监督、文化成果全程评估”的新型全流程文化工作创新机制。</w:t>
            </w:r>
          </w:p>
        </w:tc>
      </w:tr>
      <w:tr w:rsidR="00AE7AC3" w:rsidTr="00065870">
        <w:trPr>
          <w:trHeight w:val="2106"/>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2</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创新公共文化服务的“福田标准”</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AE7AC3">
            <w:pPr>
              <w:pStyle w:val="a4"/>
              <w:widowControl/>
              <w:spacing w:before="0" w:beforeAutospacing="0" w:after="0" w:afterAutospacing="0" w:line="350" w:lineRule="exact"/>
              <w:ind w:firstLineChars="200" w:firstLine="480"/>
              <w:jc w:val="both"/>
              <w:rPr>
                <w:rFonts w:ascii="仿宋_GB2312" w:hAnsi="仿宋" w:cs="仿宋" w:hint="eastAsia"/>
                <w:szCs w:val="24"/>
              </w:rPr>
            </w:pPr>
            <w:r w:rsidRPr="00350563">
              <w:rPr>
                <w:rFonts w:ascii="仿宋_GB2312" w:hAnsi="仿宋" w:cs="仿宋" w:hint="eastAsia"/>
                <w:szCs w:val="24"/>
              </w:rPr>
              <w:t>建立福田区公共文化服务标准体系。重点开展公共文化服务保障标准、管理服务标准和评价标准等基础标准的制修订，结合福田区十大文化功能区的现状，明确其在服务质量、服务设施、服务信息等领域急需制修订的重要标准，开展相应标准的制修订工作。开展公共文化服务领域标准宣传贯彻。全面推动公共文化服务领域标准化教育培训工作。开展基层公共文化服务“运行评估”和“绩效评价”标准化，加强标准化对福田区公共文化服务的技术支撑。</w:t>
            </w:r>
          </w:p>
        </w:tc>
      </w:tr>
      <w:tr w:rsidR="00AE7AC3" w:rsidTr="00065870">
        <w:trPr>
          <w:trHeight w:val="477"/>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3</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加强文化活动</w:t>
            </w:r>
          </w:p>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品牌管理</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065870">
            <w:pPr>
              <w:spacing w:line="350" w:lineRule="exact"/>
              <w:ind w:firstLineChars="200" w:firstLine="480"/>
              <w:outlineLvl w:val="2"/>
              <w:rPr>
                <w:rFonts w:ascii="仿宋_GB2312" w:eastAsia="仿宋_GB2312" w:hAnsi="仿宋" w:cs="仿宋" w:hint="eastAsia"/>
                <w:kern w:val="0"/>
                <w:sz w:val="24"/>
                <w:szCs w:val="24"/>
              </w:rPr>
            </w:pPr>
            <w:r w:rsidRPr="00350563">
              <w:rPr>
                <w:rFonts w:ascii="仿宋_GB2312" w:eastAsia="仿宋_GB2312" w:hAnsi="仿宋" w:cs="仿宋" w:hint="eastAsia"/>
                <w:kern w:val="0"/>
                <w:sz w:val="24"/>
                <w:szCs w:val="24"/>
              </w:rPr>
              <w:t>立足高雅文化、大众文化、青年文化、传统文化、国际文化五个层面深化精品文化活动建设成果，将品牌文化活动作为城区精神凝练、气质提升和形象营销的重要载体，让文化成为福田建设国际化城市中央活力区的靓丽名片和丰厚底蕴。高雅文化方面，将莲花山草地音乐节、郎朗·深圳福田国际钢琴艺术节、中国深圳双钢琴四手联弹邀请赛、深圳·福田当代</w:t>
            </w:r>
            <w:proofErr w:type="gramStart"/>
            <w:r w:rsidRPr="00350563">
              <w:rPr>
                <w:rFonts w:ascii="仿宋_GB2312" w:eastAsia="仿宋_GB2312" w:hAnsi="仿宋" w:cs="仿宋" w:hint="eastAsia"/>
                <w:kern w:val="0"/>
                <w:sz w:val="24"/>
                <w:szCs w:val="24"/>
              </w:rPr>
              <w:t>戏剧双</w:t>
            </w:r>
            <w:proofErr w:type="gramEnd"/>
            <w:r w:rsidRPr="00350563">
              <w:rPr>
                <w:rFonts w:ascii="仿宋_GB2312" w:eastAsia="仿宋_GB2312" w:hAnsi="仿宋" w:cs="仿宋" w:hint="eastAsia"/>
                <w:kern w:val="0"/>
                <w:sz w:val="24"/>
                <w:szCs w:val="24"/>
              </w:rPr>
              <w:t>年展、WDC世界杯国际标准</w:t>
            </w:r>
            <w:proofErr w:type="gramStart"/>
            <w:r w:rsidRPr="00350563">
              <w:rPr>
                <w:rFonts w:ascii="仿宋_GB2312" w:eastAsia="仿宋_GB2312" w:hAnsi="仿宋" w:cs="仿宋" w:hint="eastAsia"/>
                <w:kern w:val="0"/>
                <w:sz w:val="24"/>
                <w:szCs w:val="24"/>
              </w:rPr>
              <w:t>舞世界</w:t>
            </w:r>
            <w:proofErr w:type="gramEnd"/>
            <w:r w:rsidRPr="00350563">
              <w:rPr>
                <w:rFonts w:ascii="仿宋_GB2312" w:eastAsia="仿宋_GB2312" w:hAnsi="仿宋" w:cs="仿宋" w:hint="eastAsia"/>
                <w:kern w:val="0"/>
                <w:sz w:val="24"/>
                <w:szCs w:val="24"/>
              </w:rPr>
              <w:t>公开赛等活动打造成具有福田特色、中国气派和国际影响的文化品牌；大众文化方面，将“福田文化空间”百场公益文化活动进社区、“华强北好声音”暨周末广场音乐</w:t>
            </w:r>
            <w:proofErr w:type="gramStart"/>
            <w:r w:rsidRPr="00350563">
              <w:rPr>
                <w:rFonts w:ascii="仿宋_GB2312" w:eastAsia="仿宋_GB2312" w:hAnsi="仿宋" w:cs="仿宋" w:hint="eastAsia"/>
                <w:kern w:val="0"/>
                <w:sz w:val="24"/>
                <w:szCs w:val="24"/>
              </w:rPr>
              <w:t>荟</w:t>
            </w:r>
            <w:proofErr w:type="gramEnd"/>
            <w:r w:rsidRPr="00350563">
              <w:rPr>
                <w:rFonts w:ascii="仿宋_GB2312" w:eastAsia="仿宋_GB2312" w:hAnsi="仿宋" w:cs="仿宋" w:hint="eastAsia"/>
                <w:kern w:val="0"/>
                <w:sz w:val="24"/>
                <w:szCs w:val="24"/>
              </w:rPr>
              <w:t>、福田</w:t>
            </w:r>
            <w:proofErr w:type="gramStart"/>
            <w:r w:rsidRPr="00350563">
              <w:rPr>
                <w:rFonts w:ascii="仿宋_GB2312" w:eastAsia="仿宋_GB2312" w:hAnsi="仿宋" w:cs="仿宋" w:hint="eastAsia"/>
                <w:kern w:val="0"/>
                <w:sz w:val="24"/>
                <w:szCs w:val="24"/>
              </w:rPr>
              <w:t>区主题</w:t>
            </w:r>
            <w:proofErr w:type="gramEnd"/>
            <w:r w:rsidRPr="00350563">
              <w:rPr>
                <w:rFonts w:ascii="仿宋_GB2312" w:eastAsia="仿宋_GB2312" w:hAnsi="仿宋" w:cs="仿宋" w:hint="eastAsia"/>
                <w:kern w:val="0"/>
                <w:sz w:val="24"/>
                <w:szCs w:val="24"/>
              </w:rPr>
              <w:t>文化馆艺术节、“托起梦想”公益培训工程打造成凝聚城区精神、凸显城区魅力、引导居民融入城区生活、在福田安居乐业的群众文化活动精品；青年文化方面，把中国（深圳）国际嘻哈文化节、深圳</w:t>
            </w:r>
            <w:r w:rsidRPr="00350563">
              <w:rPr>
                <w:rFonts w:ascii="仿宋_GB2312" w:eastAsia="仿宋_GB2312" w:hAnsi="仿宋" w:cs="仿宋" w:hint="eastAsia"/>
                <w:kern w:val="0"/>
                <w:sz w:val="24"/>
                <w:szCs w:val="24"/>
              </w:rPr>
              <w:lastRenderedPageBreak/>
              <w:t>国际打击乐文化节等文化活动打造成青年市民分享文化发展成果、展示文艺才能的城区舞台；传统文化方面，着力培育“福田·传承”非物质文化遗产展示活动、方锦龙·深圳（福田）民族民间音乐节等文化活动品牌；国际文化方面，举办福田·香蜜湖中外国际社区嘉年华、深圳（福田）东海国际文化艺术节、深圳（福田）国际城区影像节等品牌活动，彰显福田区高品质国际化中央活力</w:t>
            </w:r>
            <w:proofErr w:type="gramStart"/>
            <w:r w:rsidRPr="00350563">
              <w:rPr>
                <w:rFonts w:ascii="仿宋_GB2312" w:eastAsia="仿宋_GB2312" w:hAnsi="仿宋" w:cs="仿宋" w:hint="eastAsia"/>
                <w:kern w:val="0"/>
                <w:sz w:val="24"/>
                <w:szCs w:val="24"/>
              </w:rPr>
              <w:t>区特色</w:t>
            </w:r>
            <w:proofErr w:type="gramEnd"/>
            <w:r w:rsidRPr="00350563">
              <w:rPr>
                <w:rFonts w:ascii="仿宋_GB2312" w:eastAsia="仿宋_GB2312" w:hAnsi="仿宋" w:cs="仿宋" w:hint="eastAsia"/>
                <w:kern w:val="0"/>
                <w:sz w:val="24"/>
                <w:szCs w:val="24"/>
              </w:rPr>
              <w:t>魅力。为配合深圳改革开放40周年、福田建区30周年等重大节庆活动，“十三五”期间将规划打造“福田文化30年”等系列主题文化活动，凸显福田改革创新、开放多元、先锋创意等多元文化特质。</w:t>
            </w:r>
          </w:p>
        </w:tc>
      </w:tr>
      <w:tr w:rsidR="00AE7AC3" w:rsidTr="00065870">
        <w:trPr>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lastRenderedPageBreak/>
              <w:t>4</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建设福田“十大文化功能区”升级版</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AE7AC3">
            <w:pPr>
              <w:pStyle w:val="a4"/>
              <w:widowControl/>
              <w:spacing w:before="0" w:beforeAutospacing="0" w:after="0" w:afterAutospacing="0" w:line="350" w:lineRule="exact"/>
              <w:ind w:firstLineChars="200" w:firstLine="480"/>
              <w:jc w:val="both"/>
              <w:rPr>
                <w:rFonts w:ascii="仿宋_GB2312" w:hAnsi="仿宋" w:cs="仿宋" w:hint="eastAsia"/>
                <w:szCs w:val="24"/>
              </w:rPr>
            </w:pPr>
            <w:r w:rsidRPr="00350563">
              <w:rPr>
                <w:rFonts w:ascii="仿宋_GB2312" w:hAnsi="仿宋" w:cs="仿宋" w:hint="eastAsia"/>
                <w:szCs w:val="24"/>
              </w:rPr>
              <w:t xml:space="preserve">夯实主题文化馆、图书馆和博物馆等传统文化阵地；开发公园、广场和地铁等新兴文化空间潜能；优化戏剧、公共艺术和街道等特色文化载体；拓展数字文体服务空间，打造全媒体融合平台等具体举措着力打造国家公共文化服务体系示范区。 </w:t>
            </w:r>
          </w:p>
        </w:tc>
      </w:tr>
      <w:tr w:rsidR="00AE7AC3" w:rsidTr="00065870">
        <w:trPr>
          <w:trHeight w:val="90"/>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5</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创新社会资源参与公共文化模式</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AE7AC3">
            <w:pPr>
              <w:pStyle w:val="a4"/>
              <w:widowControl/>
              <w:spacing w:before="0" w:beforeAutospacing="0" w:after="0" w:afterAutospacing="0" w:line="350" w:lineRule="exact"/>
              <w:ind w:firstLineChars="200" w:firstLine="480"/>
              <w:jc w:val="both"/>
              <w:rPr>
                <w:rFonts w:ascii="仿宋_GB2312" w:hAnsi="仿宋" w:cs="仿宋" w:hint="eastAsia"/>
                <w:szCs w:val="24"/>
              </w:rPr>
            </w:pPr>
            <w:r w:rsidRPr="00350563">
              <w:rPr>
                <w:rFonts w:ascii="仿宋_GB2312" w:hAnsi="仿宋" w:cs="仿宋" w:hint="eastAsia"/>
                <w:szCs w:val="24"/>
              </w:rPr>
              <w:t>创新发展福田特色“1+1+N”制度，开辟公共文化服务社会化运作新路径；提高公共文化购买与资助力度，建立文化采购与文化资源、文化服务与文化需求的“双向选择平台”；实施文化志愿者提升工程，探索公共文化服务主体多元化。将福田文化志愿者服务总队登记注册为社会组织法人“福田区文化志愿者协会”，引导和规范全区文化志愿服务工作，逐步推动志愿者成为公共文化服务主体的重要组成部分。</w:t>
            </w:r>
          </w:p>
        </w:tc>
      </w:tr>
      <w:tr w:rsidR="00AE7AC3" w:rsidTr="00065870">
        <w:trPr>
          <w:trHeight w:val="336"/>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6</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拓展互联网+公共文化服务模式</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AE7AC3">
            <w:pPr>
              <w:pStyle w:val="a4"/>
              <w:widowControl/>
              <w:spacing w:line="350" w:lineRule="exact"/>
              <w:ind w:firstLineChars="200" w:firstLine="480"/>
              <w:jc w:val="both"/>
              <w:rPr>
                <w:rFonts w:ascii="仿宋_GB2312" w:hAnsi="仿宋" w:cs="仿宋" w:hint="eastAsia"/>
                <w:szCs w:val="24"/>
              </w:rPr>
            </w:pPr>
            <w:r w:rsidRPr="00350563">
              <w:rPr>
                <w:rFonts w:ascii="仿宋_GB2312" w:hAnsi="仿宋" w:cs="仿宋" w:hint="eastAsia"/>
                <w:szCs w:val="24"/>
              </w:rPr>
              <w:t>结合福田区智慧城市建设，运用物联网、云计算、大数据集成等新一代信息技术，建设包括文化信息交流平台、公共文体服务平台、宣传推广平台、文化市场监管预警监测平台、区域品牌活动管理平台于一体的综合性平台。通过公共文化服务云平台，聚合区内公共文化机构服务资源，搜集福田地方文献、展览演出、讲座培训及原创纪录片等资料，形成具有区域特色的公共文化服务资源数据库；借力大数据技术，对公共文化服务受众数据进行相关性分析，精准对接公众文化需求。</w:t>
            </w:r>
          </w:p>
        </w:tc>
      </w:tr>
      <w:tr w:rsidR="00AE7AC3" w:rsidTr="00065870">
        <w:trPr>
          <w:trHeight w:val="2333"/>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lastRenderedPageBreak/>
              <w:t>7</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建设安托山</w:t>
            </w:r>
          </w:p>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博物馆群</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AE7AC3">
            <w:pPr>
              <w:pStyle w:val="a4"/>
              <w:widowControl/>
              <w:spacing w:before="0" w:beforeAutospacing="0" w:after="0" w:afterAutospacing="0" w:line="350" w:lineRule="exact"/>
              <w:ind w:firstLineChars="200" w:firstLine="480"/>
              <w:jc w:val="both"/>
              <w:rPr>
                <w:rFonts w:ascii="仿宋_GB2312" w:hAnsi="仿宋" w:cs="仿宋" w:hint="eastAsia"/>
                <w:szCs w:val="24"/>
              </w:rPr>
            </w:pPr>
            <w:r w:rsidRPr="00350563">
              <w:rPr>
                <w:rFonts w:ascii="仿宋_GB2312" w:hAnsi="仿宋" w:cs="仿宋" w:hint="eastAsia"/>
                <w:szCs w:val="24"/>
              </w:rPr>
              <w:t>高标准、高起点规划和建设安托山博物馆群，建设一个集博物、博览、旅游、休闲、教育、商贸等功能于一体的“博物馆特区”，涵盖创意设计、高端印刷、改革开放、现当代艺术、玉石文化、收藏等约30个主题博物馆，全面展示深圳的历史、地域风情和馆藏能力、策展能力，将“安托山博物馆群”建成彰显福田地域特色、文化特质和风土人情的文化新地标。</w:t>
            </w:r>
          </w:p>
        </w:tc>
      </w:tr>
      <w:tr w:rsidR="00AE7AC3" w:rsidTr="00065870">
        <w:trPr>
          <w:trHeight w:val="2105"/>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8</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完善全民健身</w:t>
            </w:r>
          </w:p>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服务体系</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AE7AC3">
            <w:pPr>
              <w:pStyle w:val="a4"/>
              <w:widowControl/>
              <w:spacing w:before="0" w:beforeAutospacing="0" w:after="0" w:afterAutospacing="0" w:line="350" w:lineRule="exact"/>
              <w:ind w:firstLineChars="200" w:firstLine="480"/>
              <w:jc w:val="both"/>
              <w:rPr>
                <w:rFonts w:ascii="仿宋_GB2312" w:hAnsi="仿宋" w:cs="仿宋" w:hint="eastAsia"/>
                <w:szCs w:val="24"/>
              </w:rPr>
            </w:pPr>
            <w:r w:rsidRPr="00350563">
              <w:rPr>
                <w:rFonts w:ascii="仿宋_GB2312" w:hAnsi="仿宋" w:cs="仿宋" w:hint="eastAsia"/>
                <w:szCs w:val="24"/>
              </w:rPr>
              <w:t>推进体育设施网络化建设，构建“百米健身圈”；培育创新城市群众体育新名片，重点建设群众体育品牌项目“福田健身房”和“全民健身节”，充分整合利用福田公共体育资源，为辖区居民提供免费开放、场地设施服务、体质监测、体育指导、群体活动等五大板块的综合性服务，推动全民健身运动大发展。</w:t>
            </w:r>
          </w:p>
        </w:tc>
      </w:tr>
      <w:tr w:rsidR="00AE7AC3" w:rsidTr="00065870">
        <w:trPr>
          <w:trHeight w:val="2775"/>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9</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文化市场技术监管平台建设工程</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AE7AC3">
            <w:pPr>
              <w:pStyle w:val="a4"/>
              <w:widowControl/>
              <w:spacing w:before="0" w:beforeAutospacing="0" w:after="0" w:afterAutospacing="0" w:line="350" w:lineRule="exact"/>
              <w:ind w:firstLineChars="200" w:firstLine="480"/>
              <w:jc w:val="both"/>
              <w:rPr>
                <w:rFonts w:ascii="仿宋_GB2312" w:hAnsi="仿宋" w:cs="仿宋" w:hint="eastAsia"/>
                <w:szCs w:val="24"/>
              </w:rPr>
            </w:pPr>
            <w:r w:rsidRPr="00350563">
              <w:rPr>
                <w:rFonts w:ascii="仿宋_GB2312" w:hAnsi="仿宋" w:cs="仿宋" w:hint="eastAsia"/>
                <w:szCs w:val="24"/>
              </w:rPr>
              <w:t>积极推进全国文化市场技术监管平台建设，用科技手段不断提升文化市场管理和服务水平；合理利用信息网络技术实现文化市场经营场所在线即时监督监测和非现场监管执法,实现数字化、网格化监管新常态,充分运用移动执法、电子案卷等手段，提高执法效能；及时公开执法案件主体信息、案由、处罚依据和处罚结果，提高执法的透明度和公信力，以科技手段确保文化市场健康有序发展。</w:t>
            </w:r>
          </w:p>
        </w:tc>
      </w:tr>
      <w:tr w:rsidR="00AE7AC3" w:rsidTr="00065870">
        <w:trPr>
          <w:trHeight w:val="193"/>
          <w:jc w:val="center"/>
        </w:trPr>
        <w:tc>
          <w:tcPr>
            <w:tcW w:w="923"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10</w:t>
            </w:r>
          </w:p>
        </w:tc>
        <w:tc>
          <w:tcPr>
            <w:tcW w:w="2130"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提升福田国际</w:t>
            </w:r>
          </w:p>
          <w:p w:rsidR="00AE7AC3" w:rsidRPr="00EC67E8" w:rsidRDefault="00AE7AC3" w:rsidP="00AE7AC3">
            <w:pPr>
              <w:pStyle w:val="a4"/>
              <w:widowControl/>
              <w:spacing w:before="0" w:beforeAutospacing="0" w:after="0" w:afterAutospacing="0" w:line="360" w:lineRule="atLeast"/>
              <w:ind w:firstLine="422"/>
              <w:jc w:val="center"/>
              <w:rPr>
                <w:rFonts w:ascii="黑体" w:eastAsia="黑体" w:hAnsi="黑体" w:cs="仿宋" w:hint="eastAsia"/>
                <w:b/>
                <w:szCs w:val="24"/>
              </w:rPr>
            </w:pPr>
            <w:r w:rsidRPr="00EC67E8">
              <w:rPr>
                <w:rFonts w:ascii="黑体" w:eastAsia="黑体" w:hAnsi="黑体" w:cs="仿宋" w:hint="eastAsia"/>
                <w:b/>
                <w:szCs w:val="24"/>
              </w:rPr>
              <w:t>文化形象</w:t>
            </w:r>
          </w:p>
        </w:tc>
        <w:tc>
          <w:tcPr>
            <w:tcW w:w="5917" w:type="dxa"/>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tcPr>
          <w:p w:rsidR="00AE7AC3" w:rsidRPr="00350563" w:rsidRDefault="00AE7AC3" w:rsidP="00AE7AC3">
            <w:pPr>
              <w:pStyle w:val="a4"/>
              <w:widowControl/>
              <w:spacing w:before="0" w:beforeAutospacing="0" w:after="0" w:afterAutospacing="0" w:line="350" w:lineRule="exact"/>
              <w:ind w:firstLineChars="200" w:firstLine="480"/>
              <w:jc w:val="both"/>
              <w:rPr>
                <w:rFonts w:ascii="仿宋_GB2312" w:hAnsi="仿宋" w:cs="仿宋" w:hint="eastAsia"/>
                <w:szCs w:val="24"/>
              </w:rPr>
            </w:pPr>
            <w:r w:rsidRPr="00350563">
              <w:rPr>
                <w:rFonts w:ascii="仿宋_GB2312" w:hAnsi="仿宋" w:cs="仿宋" w:hint="eastAsia"/>
                <w:szCs w:val="24"/>
              </w:rPr>
              <w:t>到2020年，建成比较完善的国际性文化设施体系，标志性文化设施全面建成并在国际上形成一定的知名度和影响力，文化创意空间比较完善，形成比较完整、合理的国际化文化空间体系；拥有3-5位国际知名文化艺术人才；具有国际视野的文化创意人才成为文化艺术人才队伍核心层；打造5-8个具有较高国际知名度和影响力的精品文化活动；重视以网络、手机为代表的新兴媒体推广，支持以福田区为背景的电影拍摄，鼓励与外方开展电影拍摄国际合作，在电影中融入“福田元素”。</w:t>
            </w:r>
          </w:p>
        </w:tc>
      </w:tr>
    </w:tbl>
    <w:p w:rsidR="00AE7AC3" w:rsidRDefault="00AE7AC3" w:rsidP="00AE7AC3">
      <w:pPr>
        <w:rPr>
          <w:rFonts w:ascii="宋体" w:hAnsi="宋体" w:hint="eastAsia"/>
          <w:b/>
          <w:sz w:val="24"/>
          <w:szCs w:val="28"/>
        </w:rPr>
      </w:pPr>
    </w:p>
    <w:p w:rsidR="00AE7AC3" w:rsidRDefault="00AE7AC3" w:rsidP="00AE7AC3">
      <w:pPr>
        <w:rPr>
          <w:rFonts w:ascii="宋体" w:hAnsi="宋体" w:hint="eastAsia"/>
          <w:b/>
          <w:sz w:val="24"/>
          <w:szCs w:val="28"/>
        </w:rPr>
      </w:pPr>
    </w:p>
    <w:p w:rsidR="00EC410D" w:rsidRPr="00AE7AC3" w:rsidRDefault="00EC410D" w:rsidP="00AE7AC3"/>
    <w:sectPr w:rsidR="00EC410D" w:rsidRPr="00AE7A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36"/>
    <w:rsid w:val="005B4313"/>
    <w:rsid w:val="006D13FA"/>
    <w:rsid w:val="00AE7AC3"/>
    <w:rsid w:val="00C409CC"/>
    <w:rsid w:val="00C52736"/>
    <w:rsid w:val="00EC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3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409CC"/>
    <w:pPr>
      <w:ind w:firstLineChars="200" w:firstLine="420"/>
    </w:pPr>
    <w:rPr>
      <w:rFonts w:ascii="Times New Roman" w:hAnsi="Times New Roman"/>
      <w:szCs w:val="24"/>
    </w:rPr>
  </w:style>
  <w:style w:type="paragraph" w:styleId="a4">
    <w:name w:val="Normal (Web)"/>
    <w:basedOn w:val="a"/>
    <w:rsid w:val="00C52736"/>
    <w:pPr>
      <w:spacing w:before="100" w:beforeAutospacing="1" w:after="100" w:afterAutospacing="1"/>
      <w:jc w:val="left"/>
    </w:pPr>
    <w:rPr>
      <w:rFonts w:eastAsia="仿宋_GB2312"/>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3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409CC"/>
    <w:pPr>
      <w:ind w:firstLineChars="200" w:firstLine="420"/>
    </w:pPr>
    <w:rPr>
      <w:rFonts w:ascii="Times New Roman" w:hAnsi="Times New Roman"/>
      <w:szCs w:val="24"/>
    </w:rPr>
  </w:style>
  <w:style w:type="paragraph" w:styleId="a4">
    <w:name w:val="Normal (Web)"/>
    <w:basedOn w:val="a"/>
    <w:rsid w:val="00C52736"/>
    <w:pPr>
      <w:spacing w:before="100" w:beforeAutospacing="1" w:after="100" w:afterAutospacing="1"/>
      <w:jc w:val="left"/>
    </w:pPr>
    <w:rPr>
      <w:rFonts w:eastAsia="仿宋_GB2312"/>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2026</Characters>
  <Application>Microsoft Office Word</Application>
  <DocSecurity>0</DocSecurity>
  <Lines>16</Lines>
  <Paragraphs>4</Paragraphs>
  <ScaleCrop>false</ScaleCrop>
  <Company>微软中国</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2016-04-18T06:41:00Z</dcterms:created>
  <dcterms:modified xsi:type="dcterms:W3CDTF">2016-04-18T06:41:00Z</dcterms:modified>
</cp:coreProperties>
</file>