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附件：</w:t>
      </w:r>
    </w:p>
    <w:p>
      <w:pPr>
        <w:jc w:val="center"/>
        <w:rPr>
          <w:rFonts w:hint="eastAsia" w:asciiTheme="majorEastAsia" w:hAnsiTheme="majorEastAsia" w:eastAsiaTheme="majorEastAsia" w:cstheme="majorEastAsia"/>
          <w:b/>
          <w:bCs/>
          <w:sz w:val="44"/>
          <w:szCs w:val="44"/>
          <w:lang w:eastAsia="zh-CN"/>
        </w:rPr>
      </w:pPr>
      <w:bookmarkStart w:id="0" w:name="_GoBack"/>
      <w:bookmarkEnd w:id="0"/>
      <w:r>
        <w:rPr>
          <w:rFonts w:hint="eastAsia" w:asciiTheme="majorEastAsia" w:hAnsiTheme="majorEastAsia" w:eastAsiaTheme="majorEastAsia" w:cstheme="majorEastAsia"/>
          <w:b/>
          <w:bCs/>
          <w:sz w:val="44"/>
          <w:szCs w:val="44"/>
          <w:lang w:eastAsia="zh-CN"/>
        </w:rPr>
        <w:t>公众意见及采纳情况一览表</w:t>
      </w:r>
    </w:p>
    <w:p>
      <w:pPr>
        <w:rPr>
          <w:rFonts w:hint="eastAsia"/>
          <w:lang w:eastAsia="zh-CN"/>
        </w:rPr>
      </w:pPr>
    </w:p>
    <w:tbl>
      <w:tblPr>
        <w:tblStyle w:val="5"/>
        <w:tblW w:w="14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95"/>
        <w:gridCol w:w="7846"/>
        <w:gridCol w:w="1213"/>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33" w:type="dxa"/>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lang w:eastAsia="zh-CN"/>
              </w:rPr>
              <w:t>序号</w:t>
            </w:r>
          </w:p>
        </w:tc>
        <w:tc>
          <w:tcPr>
            <w:tcW w:w="995" w:type="dxa"/>
          </w:tcPr>
          <w:p>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意见人</w:t>
            </w:r>
          </w:p>
        </w:tc>
        <w:tc>
          <w:tcPr>
            <w:tcW w:w="7846" w:type="dxa"/>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具体意见</w:t>
            </w:r>
          </w:p>
        </w:tc>
        <w:tc>
          <w:tcPr>
            <w:tcW w:w="1213" w:type="dxa"/>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是否采纳</w:t>
            </w:r>
          </w:p>
        </w:tc>
        <w:tc>
          <w:tcPr>
            <w:tcW w:w="4060" w:type="dxa"/>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hint="eastAsia"/>
                <w:vertAlign w:val="baseline"/>
                <w:lang w:val="en-US" w:eastAsia="zh-CN"/>
              </w:rPr>
            </w:pPr>
            <w:r>
              <w:rPr>
                <w:rFonts w:hint="eastAsia"/>
                <w:vertAlign w:val="baseline"/>
                <w:lang w:val="en-US" w:eastAsia="zh-CN"/>
              </w:rPr>
              <w:t>1</w:t>
            </w:r>
          </w:p>
        </w:tc>
        <w:tc>
          <w:tcPr>
            <w:tcW w:w="995" w:type="dxa"/>
            <w:vAlign w:val="center"/>
          </w:tcPr>
          <w:p>
            <w:pPr>
              <w:jc w:val="center"/>
              <w:rPr>
                <w:rFonts w:hint="eastAsia"/>
                <w:vertAlign w:val="baseline"/>
                <w:lang w:val="en-US" w:eastAsia="zh-CN"/>
              </w:rPr>
            </w:pPr>
            <w:r>
              <w:rPr>
                <w:rFonts w:hint="eastAsia"/>
                <w:vertAlign w:val="baseline"/>
                <w:lang w:val="en-US" w:eastAsia="zh-CN"/>
              </w:rPr>
              <w:t>福田保税区某企业</w:t>
            </w:r>
          </w:p>
        </w:tc>
        <w:tc>
          <w:tcPr>
            <w:tcW w:w="7846" w:type="dxa"/>
          </w:tcPr>
          <w:p>
            <w:pPr>
              <w:ind w:firstLine="420" w:firstLineChars="20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国务院称：民众，法无禁止即可为；政府，法无授权不可为，现在合法存在的企业包括以后能合法进驻的企业，应当受到法律的保护才是，而不是说依据部门意见说清理就清理，甚至政府要完全清晰解析入园证是否有法律依据而且应该建立的是负面清单，完全不考虑社会发展经历和存在的事实并且强制执行造成社会、经济等不稳定。</w:t>
            </w:r>
          </w:p>
          <w:p>
            <w:pPr>
              <w:ind w:firstLine="420" w:firstLineChars="20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凤栖梧桐，特斯拉工厂选址上海也是因为有实实在在的金融优惠政策，相信这些都是特斯拉在中国投资之前就能够清楚知道的才能进来设厂，近的就如前海的企业回归政策，能让企业明明白白知道回归前海有什么好处，然而本办法完全没有这方面得到内容，通篇看起来都是自己关着门琢磨出来的，不够联系实际。</w:t>
            </w:r>
          </w:p>
          <w:p>
            <w:pPr>
              <w:ind w:firstLine="420" w:firstLineChars="20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正确的方法事半功倍，不正确的方法一事难成，2017年深圳市能够修改深圳市消防条例以适应深圳自身的发展特点和解决实际问题，令人佩服，然而本办法就是一纸驱逐令，良莠不分不说甚至不是奔着解决问题出发的。</w:t>
            </w:r>
          </w:p>
        </w:tc>
        <w:tc>
          <w:tcPr>
            <w:tcW w:w="1213" w:type="dxa"/>
            <w:vAlign w:val="center"/>
          </w:tcPr>
          <w:p>
            <w:pPr>
              <w:jc w:val="center"/>
              <w:rPr>
                <w:rFonts w:hint="eastAsia"/>
                <w:vertAlign w:val="baseline"/>
                <w:lang w:eastAsia="zh-CN"/>
              </w:rPr>
            </w:pPr>
            <w:r>
              <w:rPr>
                <w:rFonts w:hint="eastAsia"/>
                <w:vertAlign w:val="baseline"/>
                <w:lang w:eastAsia="zh-CN"/>
              </w:rPr>
              <w:t>解释说明</w:t>
            </w:r>
          </w:p>
        </w:tc>
        <w:tc>
          <w:tcPr>
            <w:tcW w:w="4060" w:type="dxa"/>
          </w:tcPr>
          <w:p>
            <w:pPr>
              <w:rPr>
                <w:rFonts w:hint="eastAsia"/>
                <w:vertAlign w:val="baseline"/>
                <w:lang w:eastAsia="zh-CN"/>
              </w:rPr>
            </w:pPr>
            <w:r>
              <w:rPr>
                <w:rFonts w:hint="eastAsia"/>
                <w:vertAlign w:val="baseline"/>
                <w:lang w:val="en-US" w:eastAsia="zh-CN"/>
              </w:rPr>
              <w:t>福田保税区是海关特殊监管区域，《国务院关于促进</w:t>
            </w:r>
            <w:r>
              <w:rPr>
                <w:rFonts w:hint="eastAsia" w:asciiTheme="minorEastAsia" w:hAnsiTheme="minorEastAsia" w:eastAsiaTheme="minorEastAsia" w:cstheme="minorEastAsia"/>
                <w:sz w:val="21"/>
                <w:szCs w:val="21"/>
                <w:vertAlign w:val="baseline"/>
                <w:lang w:val="en-US" w:eastAsia="zh-CN"/>
              </w:rPr>
              <w:t>海关特殊监管区域科学发展的指导意见》（国发〔2012〕58号）明确要求，“严格入区项目审核。制定特殊监管区域入区项目指引，引导符合海关特殊监管区域发展目标和政策功能定位的企业入区发展，避免盲目招商。”目前福田保税区已明确作为深港科技创新合作区的先行启动区，从保障科研空间及保税产业空间角度出发，应当对入区产业导向进行明确规定，在此背景</w:t>
            </w:r>
            <w:r>
              <w:rPr>
                <w:rFonts w:hint="eastAsia" w:asciiTheme="minorEastAsia" w:hAnsiTheme="minorEastAsia" w:cstheme="minorEastAsia"/>
                <w:sz w:val="21"/>
                <w:szCs w:val="21"/>
                <w:vertAlign w:val="baseline"/>
                <w:lang w:val="en-US" w:eastAsia="zh-CN"/>
              </w:rPr>
              <w:t>下，</w:t>
            </w:r>
            <w:r>
              <w:rPr>
                <w:rFonts w:hint="eastAsia" w:asciiTheme="minorEastAsia" w:hAnsiTheme="minorEastAsia" w:eastAsiaTheme="minorEastAsia" w:cstheme="minorEastAsia"/>
                <w:sz w:val="21"/>
                <w:szCs w:val="21"/>
                <w:vertAlign w:val="baseline"/>
                <w:lang w:val="en-US" w:eastAsia="zh-CN"/>
              </w:rPr>
              <w:t>《管理暂行办法》</w:t>
            </w:r>
            <w:r>
              <w:rPr>
                <w:rFonts w:hint="eastAsia" w:asciiTheme="minorEastAsia" w:hAnsiTheme="minorEastAsia" w:cstheme="minorEastAsia"/>
                <w:sz w:val="21"/>
                <w:szCs w:val="21"/>
                <w:vertAlign w:val="baseline"/>
                <w:lang w:val="en-US" w:eastAsia="zh-CN"/>
              </w:rPr>
              <w:t>参照《海关特殊监管区域适合入区项目指引》并结合深港科技创新合作区战略定位，确立了科技+保税的产业导向。关于入区企业享受哪些优惠政策，并不是《管理暂行办法》解决的问题，在这方面，政府将加强政策宣讲，</w:t>
            </w:r>
            <w:r>
              <w:rPr>
                <w:rFonts w:hint="eastAsia"/>
                <w:vertAlign w:val="baseline"/>
                <w:lang w:val="en-US" w:eastAsia="zh-CN"/>
              </w:rPr>
              <w:t>强化服务，引导符合福田保税区产业定位的企业入区。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 w:type="dxa"/>
            <w:vAlign w:val="center"/>
          </w:tcPr>
          <w:p>
            <w:pPr>
              <w:jc w:val="center"/>
              <w:rPr>
                <w:rFonts w:hint="eastAsia"/>
                <w:vertAlign w:val="baseline"/>
                <w:lang w:val="en-US" w:eastAsia="zh-CN"/>
              </w:rPr>
            </w:pPr>
            <w:r>
              <w:rPr>
                <w:rFonts w:hint="eastAsia"/>
                <w:vertAlign w:val="baseline"/>
                <w:lang w:val="en-US" w:eastAsia="zh-CN"/>
              </w:rPr>
              <w:t>2</w:t>
            </w:r>
          </w:p>
        </w:tc>
        <w:tc>
          <w:tcPr>
            <w:tcW w:w="995" w:type="dxa"/>
            <w:vAlign w:val="center"/>
          </w:tcPr>
          <w:p>
            <w:pPr>
              <w:jc w:val="center"/>
              <w:rPr>
                <w:rFonts w:hint="eastAsia"/>
                <w:vertAlign w:val="baseline"/>
                <w:lang w:val="en-US" w:eastAsia="zh-CN"/>
              </w:rPr>
            </w:pPr>
            <w:r>
              <w:rPr>
                <w:rFonts w:hint="eastAsia"/>
                <w:vertAlign w:val="baseline"/>
                <w:lang w:val="en-US" w:eastAsia="zh-CN"/>
              </w:rPr>
              <w:t>田先生</w:t>
            </w:r>
          </w:p>
        </w:tc>
        <w:tc>
          <w:tcPr>
            <w:tcW w:w="7846" w:type="dxa"/>
          </w:tcPr>
          <w:p>
            <w:pPr>
              <w:ind w:firstLine="420" w:firstLineChars="20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《福田保税区企业及项目入区管理暂行办法》第七条第（七）项中，将“文化创意”列入“不予入区”范围，我们认为略显简单粗暴，十分不妥。</w:t>
            </w:r>
          </w:p>
          <w:p>
            <w:pP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   1、几年前，在福田保税区转型升级中，一些闲置厂房、旧楼房在区政府引导下被盘活，引入了大量文化创意企业进驻。文创企业十分注重形象和环境，普遍进行了精美装修，耗资巨大。这些文创企业中，有的是福田区文创产业的龙头企业，有的是文博会分会场，得到区政府资金扶持和房租补贴，成为福田区的文化名片。</w:t>
            </w:r>
          </w:p>
          <w:p>
            <w:pP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  2、文化创意是无污染智慧型产业，也是深圳重点发展的支柱产业，况且深港文创产业合作前景广阔，在福田保税区已有一批文创企业的既成事实下，可以将其划入研发大类或必要配套服务类，有序发展，只出不进，不再引入新的文创企业，将其比例控制在一定范围内即可。</w:t>
            </w:r>
          </w:p>
        </w:tc>
        <w:tc>
          <w:tcPr>
            <w:tcW w:w="1213" w:type="dxa"/>
            <w:vAlign w:val="center"/>
          </w:tcPr>
          <w:p>
            <w:pPr>
              <w:jc w:val="center"/>
              <w:rPr>
                <w:rFonts w:hint="eastAsia"/>
                <w:vertAlign w:val="baseline"/>
                <w:lang w:eastAsia="zh-CN"/>
              </w:rPr>
            </w:pPr>
            <w:r>
              <w:rPr>
                <w:rFonts w:hint="eastAsia"/>
                <w:vertAlign w:val="baseline"/>
                <w:lang w:eastAsia="zh-CN"/>
              </w:rPr>
              <w:t>解释说明</w:t>
            </w:r>
          </w:p>
        </w:tc>
        <w:tc>
          <w:tcPr>
            <w:tcW w:w="4060" w:type="dxa"/>
          </w:tcPr>
          <w:p>
            <w:pPr>
              <w:rPr>
                <w:rFonts w:hint="eastAsia"/>
                <w:vertAlign w:val="baseline"/>
                <w:lang w:eastAsia="zh-CN"/>
              </w:rPr>
            </w:pPr>
            <w:r>
              <w:rPr>
                <w:rFonts w:hint="eastAsia"/>
                <w:vertAlign w:val="baseline"/>
                <w:lang w:eastAsia="zh-CN"/>
              </w:rPr>
              <w:t>对于已入区的文创等产业，管理暂行办法并未采取“一刀切”的方式进行清理，而是将依法有序引导企业及项目向区外合理转移，同时也鼓励企业在匹配保税区分区功能定位基础上进行转型升级。下一步政府将就此项开展详细调研，制定具体工作方案，采取有序引导、合理转移措施，积极稳妥做好非保企业转移工作。</w:t>
            </w:r>
          </w:p>
        </w:tc>
      </w:tr>
    </w:tbl>
    <w:p>
      <w:pPr>
        <w:rPr>
          <w:rFonts w:hint="eastAsia"/>
          <w:lang w:eastAsia="zh-CN"/>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Arial Unicode MS">
    <w:altName w:val="宋体"/>
    <w:panose1 w:val="020B0604020202020204"/>
    <w:charset w:val="86"/>
    <w:family w:val="auto"/>
    <w:pitch w:val="default"/>
    <w:sig w:usb0="00000000" w:usb1="00000000" w:usb2="0000003F" w:usb3="00000000" w:csb0="603F01FF" w:csb1="FFFF0000"/>
  </w:font>
  <w:font w:name="PMingLiU">
    <w:panose1 w:val="02020500000000000000"/>
    <w:charset w:val="88"/>
    <w:family w:val="auto"/>
    <w:pitch w:val="default"/>
    <w:sig w:usb0="A00002FF" w:usb1="28CFFCFA"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iknow-qb_hom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w:altName w:val="Nyala"/>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auto"/>
    <w:pitch w:val="default"/>
    <w:sig w:usb0="00000000" w:usb1="00000000" w:usb2="00000000" w:usb3="00000000" w:csb0="2000009F" w:csb1="DFD70000"/>
  </w:font>
  <w:font w:name="方正大黑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Nyala">
    <w:panose1 w:val="02000504070300020003"/>
    <w:charset w:val="00"/>
    <w:family w:val="auto"/>
    <w:pitch w:val="default"/>
    <w:sig w:usb0="A000006F" w:usb1="00000000" w:usb2="00000800" w:usb3="00000000" w:csb0="00000093"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E3338"/>
    <w:rsid w:val="2E8E3338"/>
    <w:rsid w:val="34E20DEA"/>
    <w:rsid w:val="6D51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2019-08-20T06:58:00Z</dcterms:created>
  <dc:creator>姚立科</dc:creator>
  <cp:lastModifiedBy>姚立科</cp:lastModifiedBy>
  <dcterms:modified xsi:type="dcterms:W3CDTF">2019-08-21T02:39:01Z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