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区工商联2019年</w:t>
      </w:r>
      <w:r>
        <w:rPr>
          <w:rFonts w:hint="eastAsia" w:ascii="方正小标宋简体" w:hAnsi="方正小标宋简体" w:eastAsia="方正小标宋简体" w:cs="方正小标宋简体"/>
          <w:color w:val="000000"/>
          <w:sz w:val="44"/>
          <w:szCs w:val="44"/>
        </w:rPr>
        <w:t>“三公”经费</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财政拨款预算情况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390" w:firstLineChars="0"/>
        <w:textAlignment w:val="auto"/>
        <w:outlineLvl w:val="9"/>
        <w:rPr>
          <w:rFonts w:hint="eastAsia" w:ascii="仿宋" w:hAnsi="仿宋" w:eastAsia="仿宋" w:cs="仿宋"/>
          <w:b w:val="0"/>
          <w:bCs w:val="0"/>
          <w:color w:val="000000"/>
          <w:sz w:val="32"/>
          <w:szCs w:val="32"/>
        </w:rPr>
      </w:pPr>
      <w:r>
        <w:rPr>
          <w:rFonts w:hint="eastAsia" w:ascii="黑体" w:hAnsi="黑体" w:eastAsia="黑体" w:cs="黑体"/>
          <w:b/>
          <w:color w:val="000000"/>
          <w:sz w:val="32"/>
          <w:szCs w:val="32"/>
        </w:rPr>
        <w:t> </w:t>
      </w:r>
      <w:r>
        <w:rPr>
          <w:rFonts w:hint="eastAsia" w:ascii="黑体" w:hAnsi="黑体" w:eastAsia="黑体" w:cs="黑体"/>
          <w:b w:val="0"/>
          <w:bCs w:val="0"/>
          <w:color w:val="000000"/>
          <w:sz w:val="32"/>
          <w:szCs w:val="32"/>
          <w:lang w:val="en-US" w:eastAsia="zh-CN"/>
        </w:rPr>
        <w:t xml:space="preserve"> 一、</w:t>
      </w:r>
      <w:r>
        <w:rPr>
          <w:rFonts w:hint="eastAsia" w:ascii="黑体" w:hAnsi="黑体" w:eastAsia="黑体" w:cs="黑体"/>
          <w:b w:val="0"/>
          <w:bCs w:val="0"/>
          <w:color w:val="000000"/>
          <w:sz w:val="32"/>
          <w:szCs w:val="32"/>
        </w:rPr>
        <w:t>“三公”经费的单位范围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因公出国（境）费用、公务接待费、公务用车购置和运行维护费</w:t>
      </w:r>
      <w:r>
        <w:rPr>
          <w:rFonts w:hint="eastAsia" w:ascii="仿宋" w:hAnsi="仿宋" w:eastAsia="仿宋" w:cs="仿宋"/>
          <w:color w:val="000000"/>
          <w:sz w:val="32"/>
          <w:szCs w:val="32"/>
          <w:lang w:eastAsia="zh-CN"/>
        </w:rPr>
        <w:t>为本单位开支。</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left="2" w:right="0" w:rightChars="0"/>
        <w:textAlignment w:val="auto"/>
        <w:outlineLvl w:val="9"/>
        <w:rPr>
          <w:rFonts w:hint="eastAsia" w:ascii="黑体" w:hAnsi="黑体" w:eastAsia="黑体" w:cs="黑体"/>
          <w:bCs/>
          <w:color w:val="000000"/>
          <w:sz w:val="32"/>
          <w:szCs w:val="32"/>
        </w:rPr>
      </w:pPr>
      <w:r>
        <w:rPr>
          <w:rFonts w:hint="eastAsia" w:ascii="仿宋" w:hAnsi="仿宋" w:eastAsia="仿宋" w:cs="仿宋"/>
          <w:b/>
          <w:color w:val="000000"/>
          <w:sz w:val="32"/>
          <w:szCs w:val="32"/>
        </w:rPr>
        <w:t xml:space="preserve">   </w:t>
      </w:r>
      <w:r>
        <w:rPr>
          <w:rFonts w:hint="eastAsia" w:ascii="黑体" w:hAnsi="黑体" w:eastAsia="黑体" w:cs="黑体"/>
          <w:b w:val="0"/>
          <w:bCs/>
          <w:color w:val="000000"/>
          <w:sz w:val="32"/>
          <w:szCs w:val="32"/>
        </w:rPr>
        <w:t xml:space="preserve"> 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年“三公”经费财政拨款预算</w:t>
      </w:r>
      <w:r>
        <w:rPr>
          <w:rFonts w:hint="eastAsia" w:ascii="仿宋" w:hAnsi="仿宋" w:eastAsia="仿宋" w:cs="仿宋"/>
          <w:color w:val="000000"/>
          <w:sz w:val="32"/>
          <w:szCs w:val="32"/>
          <w:lang w:val="en-US" w:eastAsia="zh-CN"/>
        </w:rPr>
        <w:t>5.9</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年“三公”经费财政拨款预算持平。</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（一）因公出国（境）费用。</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万元。为进一步规范因公出国（境）经费管理，我区因公出国（境）经费完全按零基预算的原则根据市因公出国计划预审会议审定计划动态调配使用，因此各单位201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年因公出国（境）经费预算数为零，在实际执行中根据计划据实调配。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（二）公务接待费。</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年预算数持平。主要用于</w:t>
      </w:r>
      <w:r>
        <w:rPr>
          <w:rFonts w:hint="eastAsia" w:ascii="仿宋" w:hAnsi="仿宋" w:eastAsia="仿宋" w:cs="仿宋"/>
          <w:color w:val="000000"/>
          <w:sz w:val="32"/>
          <w:szCs w:val="32"/>
          <w:lang w:val="en-US" w:eastAsia="zh-CN"/>
        </w:rPr>
        <w:t>外单位来访接待</w:t>
      </w:r>
      <w:r>
        <w:rPr>
          <w:rFonts w:hint="eastAsia" w:ascii="仿宋" w:hAnsi="仿宋" w:eastAsia="仿宋" w:cs="仿宋"/>
          <w:color w:val="000000"/>
          <w:sz w:val="32"/>
          <w:szCs w:val="32"/>
        </w:rPr>
        <w:t>等业务支出。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（三）公务用车购置和运行维护费。</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万元，其中：公务用车购置费201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年预算数持平</w:t>
      </w:r>
      <w:r>
        <w:rPr>
          <w:rFonts w:hint="eastAsia" w:ascii="仿宋" w:hAnsi="仿宋" w:eastAsia="仿宋" w:cs="仿宋"/>
          <w:sz w:val="32"/>
          <w:szCs w:val="32"/>
        </w:rPr>
        <w:t>；本单位公务用车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台，</w:t>
      </w:r>
      <w:r>
        <w:rPr>
          <w:rFonts w:hint="eastAsia" w:ascii="仿宋" w:hAnsi="仿宋" w:eastAsia="仿宋" w:cs="仿宋"/>
          <w:color w:val="000000"/>
          <w:sz w:val="32"/>
          <w:szCs w:val="32"/>
        </w:rPr>
        <w:t>公务用车运行维护费201</w:t>
      </w:r>
      <w:r>
        <w:rPr>
          <w:rFonts w:hint="eastAsia" w:ascii="仿宋" w:hAnsi="仿宋" w:eastAsia="仿宋" w:cs="仿宋"/>
          <w:color w:val="000000"/>
          <w:sz w:val="32"/>
          <w:szCs w:val="32"/>
          <w:lang w:eastAsia="zh-CN"/>
        </w:rPr>
        <w:t>9</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年预算数持平。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jc w:val="center"/>
        <w:rPr>
          <w:rFonts w:hint="eastAsia" w:ascii="宋体" w:hAnsi="宋体" w:cs="宋体"/>
          <w:b/>
          <w:bCs w:val="0"/>
          <w:color w:val="000000"/>
          <w:sz w:val="28"/>
          <w:szCs w:val="28"/>
          <w:lang w:eastAsia="zh-CN"/>
        </w:rPr>
      </w:pPr>
    </w:p>
    <w:p>
      <w:pPr>
        <w:jc w:val="center"/>
        <w:rPr>
          <w:rFonts w:hint="eastAsia" w:ascii="宋体" w:hAnsi="宋体" w:eastAsia="宋体" w:cs="宋体"/>
          <w:b/>
          <w:bCs w:val="0"/>
          <w:color w:val="000000"/>
          <w:sz w:val="28"/>
          <w:szCs w:val="28"/>
        </w:rPr>
      </w:pPr>
      <w:r>
        <w:rPr>
          <w:rFonts w:hint="eastAsia" w:ascii="宋体" w:hAnsi="宋体" w:cs="宋体"/>
          <w:b/>
          <w:bCs w:val="0"/>
          <w:color w:val="000000"/>
          <w:sz w:val="28"/>
          <w:szCs w:val="28"/>
          <w:lang w:eastAsia="zh-CN"/>
        </w:rPr>
        <w:t>附表：</w:t>
      </w:r>
      <w:r>
        <w:rPr>
          <w:rFonts w:hint="eastAsia" w:ascii="宋体" w:hAnsi="宋体" w:cs="宋体"/>
          <w:b/>
          <w:bCs w:val="0"/>
          <w:color w:val="000000"/>
          <w:sz w:val="28"/>
          <w:szCs w:val="28"/>
          <w:lang w:val="en-US" w:eastAsia="zh-CN"/>
        </w:rPr>
        <w:t>2019年</w:t>
      </w:r>
      <w:r>
        <w:rPr>
          <w:rFonts w:hint="eastAsia" w:ascii="宋体" w:hAnsi="宋体" w:eastAsia="宋体" w:cs="宋体"/>
          <w:b/>
          <w:bCs w:val="0"/>
          <w:color w:val="000000"/>
          <w:sz w:val="28"/>
          <w:szCs w:val="28"/>
        </w:rPr>
        <w:t>“三公”经费财政拨款预算情况表</w:t>
      </w:r>
    </w:p>
    <w:p>
      <w:pPr>
        <w:jc w:val="both"/>
        <w:rPr>
          <w:rFonts w:hint="eastAsia" w:ascii="宋体" w:hAnsi="宋体" w:cs="宋体"/>
          <w:b/>
          <w:bCs w:val="0"/>
          <w:color w:val="000000"/>
          <w:sz w:val="24"/>
          <w:szCs w:val="24"/>
        </w:rPr>
      </w:pPr>
    </w:p>
    <w:tbl>
      <w:tblPr>
        <w:tblStyle w:val="4"/>
        <w:tblW w:w="90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595"/>
        <w:gridCol w:w="960"/>
        <w:gridCol w:w="925"/>
        <w:gridCol w:w="989"/>
        <w:gridCol w:w="937"/>
        <w:gridCol w:w="948"/>
        <w:gridCol w:w="872"/>
        <w:gridCol w:w="83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PrEx>
        <w:trPr>
          <w:trHeight w:val="135" w:hRule="atLeast"/>
          <w:jc w:val="center"/>
        </w:trPr>
        <w:tc>
          <w:tcPr>
            <w:tcW w:w="6406" w:type="dxa"/>
            <w:gridSpan w:val="5"/>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ascii="宋体" w:hAnsi="宋体" w:eastAsia="宋体" w:cs="宋体"/>
                <w:color w:val="000000"/>
                <w:kern w:val="0"/>
                <w:sz w:val="20"/>
                <w:szCs w:val="20"/>
                <w:lang w:eastAsia="zh-CN" w:bidi="en-US"/>
              </w:rPr>
            </w:pPr>
            <w:r>
              <w:rPr>
                <w:rFonts w:hint="eastAsia" w:ascii="Times New Roman" w:hAnsi="Times New Roman" w:eastAsia="宋体" w:cs="Times New Roman"/>
                <w:color w:val="000000"/>
                <w:kern w:val="0"/>
                <w:sz w:val="20"/>
                <w:szCs w:val="20"/>
                <w:lang w:eastAsia="zh-CN" w:bidi="en-US"/>
              </w:rPr>
              <w:t>单位名称：</w:t>
            </w:r>
            <w:r>
              <w:rPr>
                <w:rFonts w:hint="eastAsia" w:ascii="Times New Roman" w:hAnsi="Times New Roman" w:cs="Times New Roman"/>
                <w:color w:val="000000"/>
                <w:kern w:val="0"/>
                <w:sz w:val="20"/>
                <w:szCs w:val="20"/>
                <w:lang w:val="en-US" w:eastAsia="zh-CN" w:bidi="en-US"/>
              </w:rPr>
              <w:t>福田区工商联</w:t>
            </w:r>
          </w:p>
        </w:tc>
        <w:tc>
          <w:tcPr>
            <w:tcW w:w="2654" w:type="dxa"/>
            <w:gridSpan w:val="3"/>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20"/>
                <w:szCs w:val="20"/>
                <w:lang w:eastAsia="en-US" w:bidi="en-US"/>
              </w:rPr>
            </w:pPr>
            <w:r>
              <w:rPr>
                <w:rFonts w:hint="eastAsia" w:ascii="Times New Roman" w:hAnsi="Times New Roman" w:eastAsia="宋体" w:cs="Times New Roman"/>
                <w:color w:val="000000"/>
                <w:kern w:val="0"/>
                <w:sz w:val="20"/>
                <w:szCs w:val="20"/>
                <w:lang w:eastAsia="en-US" w:bidi="en-US"/>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PrEx>
        <w:trPr>
          <w:trHeight w:val="145" w:hRule="atLeast"/>
          <w:jc w:val="center"/>
        </w:trPr>
        <w:tc>
          <w:tcPr>
            <w:tcW w:w="2595" w:type="dxa"/>
            <w:vMerge w:val="restart"/>
            <w:tcBorders>
              <w:top w:val="single" w:color="auto" w:sz="4" w:space="0"/>
              <w:bottom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预算单位</w:t>
            </w:r>
          </w:p>
        </w:tc>
        <w:tc>
          <w:tcPr>
            <w:tcW w:w="960"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年度</w:t>
            </w:r>
          </w:p>
        </w:tc>
        <w:tc>
          <w:tcPr>
            <w:tcW w:w="925"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r>
              <w:rPr>
                <w:rFonts w:hint="eastAsia" w:ascii="宋体" w:hAnsi="宋体" w:eastAsia="宋体" w:cs="宋体"/>
                <w:color w:val="000000"/>
                <w:kern w:val="0"/>
                <w:sz w:val="20"/>
                <w:szCs w:val="20"/>
                <w:lang w:eastAsia="zh-CN" w:bidi="en-US"/>
              </w:rPr>
              <w:t>“三公”经费财政拨款预算总额</w:t>
            </w:r>
          </w:p>
        </w:tc>
        <w:tc>
          <w:tcPr>
            <w:tcW w:w="989"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因公出国(境)费</w:t>
            </w:r>
          </w:p>
        </w:tc>
        <w:tc>
          <w:tcPr>
            <w:tcW w:w="937"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公务接待费</w:t>
            </w:r>
          </w:p>
        </w:tc>
        <w:tc>
          <w:tcPr>
            <w:tcW w:w="2654" w:type="dxa"/>
            <w:gridSpan w:val="3"/>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r>
              <w:rPr>
                <w:rFonts w:hint="eastAsia" w:ascii="宋体" w:hAnsi="宋体" w:eastAsia="宋体" w:cs="宋体"/>
                <w:color w:val="000000"/>
                <w:kern w:val="0"/>
                <w:sz w:val="20"/>
                <w:szCs w:val="20"/>
                <w:lang w:eastAsia="zh-CN" w:bidi="en-US"/>
              </w:rPr>
              <w:t>公务用车购置及运行维护费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05"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48" w:type="dxa"/>
            <w:tcBorders>
              <w:top w:val="single" w:color="auto" w:sz="4" w:space="0"/>
              <w:lef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小计</w:t>
            </w:r>
          </w:p>
        </w:tc>
        <w:tc>
          <w:tcPr>
            <w:tcW w:w="872"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公务用车购置费</w:t>
            </w:r>
          </w:p>
        </w:tc>
        <w:tc>
          <w:tcPr>
            <w:tcW w:w="834"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公务用车运行维护费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630" w:hRule="exact"/>
          <w:jc w:val="center"/>
        </w:trPr>
        <w:tc>
          <w:tcPr>
            <w:tcW w:w="259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宋体" w:cs="Times New Roman"/>
                <w:color w:val="000000"/>
                <w:kern w:val="0"/>
                <w:sz w:val="20"/>
                <w:lang w:eastAsia="zh-CN" w:bidi="en-US"/>
              </w:rPr>
            </w:pPr>
            <w:r>
              <w:rPr>
                <w:rFonts w:hint="eastAsia" w:ascii="Times New Roman" w:hAnsi="Times New Roman" w:cs="Times New Roman"/>
                <w:color w:val="000000"/>
                <w:kern w:val="0"/>
                <w:sz w:val="20"/>
                <w:lang w:eastAsia="zh-CN" w:bidi="en-US"/>
              </w:rPr>
              <w:t>福田区工商联</w:t>
            </w:r>
          </w:p>
        </w:tc>
        <w:tc>
          <w:tcPr>
            <w:tcW w:w="960"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宋体" w:cs="Times New Roman"/>
                <w:color w:val="000000"/>
                <w:kern w:val="0"/>
                <w:sz w:val="20"/>
                <w:lang w:eastAsia="en-US" w:bidi="en-US"/>
              </w:rPr>
            </w:pPr>
            <w:r>
              <w:rPr>
                <w:rFonts w:ascii="Times New Roman" w:hAnsi="Times New Roman" w:eastAsia="宋体" w:cs="Times New Roman"/>
                <w:color w:val="000000"/>
                <w:kern w:val="0"/>
                <w:sz w:val="20"/>
                <w:lang w:eastAsia="en-US" w:bidi="en-US"/>
              </w:rPr>
              <w:t>20</w:t>
            </w:r>
            <w:r>
              <w:rPr>
                <w:rFonts w:hint="eastAsia" w:ascii="Times New Roman" w:hAnsi="Times New Roman" w:cs="Times New Roman"/>
                <w:color w:val="000000"/>
                <w:kern w:val="0"/>
                <w:sz w:val="20"/>
                <w:lang w:val="en-US" w:eastAsia="zh-CN" w:bidi="en-US"/>
              </w:rPr>
              <w:t>19</w:t>
            </w:r>
          </w:p>
        </w:tc>
        <w:tc>
          <w:tcPr>
            <w:tcW w:w="92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5.9</w:t>
            </w:r>
          </w:p>
        </w:tc>
        <w:tc>
          <w:tcPr>
            <w:tcW w:w="98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18"/>
                <w:szCs w:val="18"/>
                <w:lang w:eastAsia="en-US" w:bidi="en-US"/>
              </w:rPr>
            </w:pP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3.9</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18"/>
                <w:szCs w:val="18"/>
                <w:lang w:eastAsia="en-US" w:bidi="en-US"/>
              </w:rPr>
            </w:pP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3.9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2757E"/>
    <w:rsid w:val="20C27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2019-08-15T08:48:00Z</dcterms:created>
  <dc:creator>杨高兴</dc:creator>
  <cp:lastModifiedBy>杨高兴</cp:lastModifiedBy>
  <dcterms:modified xsi:type="dcterms:W3CDTF">2019-08-15T08:48:32Z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