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75" w:rsidRDefault="00E85175">
      <w:pPr>
        <w:numPr>
          <w:ilvl w:val="255"/>
          <w:numId w:val="0"/>
        </w:numPr>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福田区发展研究中心</w:t>
      </w:r>
      <w:r>
        <w:rPr>
          <w:rFonts w:ascii="方正小标宋简体" w:eastAsia="方正小标宋简体" w:hAnsi="方正小标宋简体" w:cs="方正小标宋简体"/>
          <w:color w:val="000000"/>
          <w:sz w:val="44"/>
          <w:szCs w:val="44"/>
        </w:rPr>
        <w:t>2018</w:t>
      </w:r>
      <w:r>
        <w:rPr>
          <w:rFonts w:ascii="方正小标宋简体" w:eastAsia="方正小标宋简体" w:hAnsi="方正小标宋简体" w:cs="方正小标宋简体" w:hint="eastAsia"/>
          <w:color w:val="000000"/>
          <w:sz w:val="44"/>
          <w:szCs w:val="44"/>
        </w:rPr>
        <w:t>年“三公”经费财政拨款预算情况</w:t>
      </w:r>
    </w:p>
    <w:p w:rsidR="00E85175" w:rsidRDefault="00E85175" w:rsidP="008D47E4">
      <w:pPr>
        <w:spacing w:line="560" w:lineRule="exact"/>
        <w:ind w:firstLineChars="200" w:firstLine="31680"/>
        <w:rPr>
          <w:rFonts w:ascii="黑体" w:eastAsia="黑体" w:hAnsi="黑体" w:cs="黑体"/>
          <w:color w:val="000000"/>
          <w:sz w:val="28"/>
        </w:rPr>
      </w:pPr>
    </w:p>
    <w:p w:rsidR="00E85175" w:rsidRDefault="00E85175" w:rsidP="0028368F">
      <w:pPr>
        <w:spacing w:line="560" w:lineRule="exact"/>
        <w:ind w:firstLineChars="200" w:firstLine="31680"/>
        <w:rPr>
          <w:rFonts w:ascii="黑体" w:eastAsia="黑体" w:hAnsi="黑体" w:cs="黑体"/>
          <w:bCs/>
          <w:color w:val="000000"/>
          <w:sz w:val="32"/>
          <w:szCs w:val="32"/>
        </w:rPr>
      </w:pPr>
      <w:bookmarkStart w:id="0" w:name="_GoBack"/>
      <w:r>
        <w:rPr>
          <w:rFonts w:ascii="黑体" w:eastAsia="黑体" w:hAnsi="黑体" w:cs="黑体" w:hint="eastAsia"/>
          <w:bCs/>
          <w:color w:val="000000"/>
          <w:sz w:val="32"/>
          <w:szCs w:val="32"/>
        </w:rPr>
        <w:t>一、“三公”经费的单位范围</w:t>
      </w:r>
    </w:p>
    <w:p w:rsidR="00E85175" w:rsidRDefault="00E85175" w:rsidP="008D47E4">
      <w:pPr>
        <w:spacing w:line="56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福田区发展研究中心因公出国（境）费用、公务接待费、公务用车购置和运行维护费开支单位为中心本级。</w:t>
      </w:r>
    </w:p>
    <w:p w:rsidR="00E85175" w:rsidRDefault="00E85175" w:rsidP="008D47E4">
      <w:pPr>
        <w:spacing w:line="560" w:lineRule="exact"/>
        <w:ind w:firstLineChars="200" w:firstLine="31680"/>
        <w:rPr>
          <w:rFonts w:ascii="黑体" w:eastAsia="黑体" w:hAnsi="黑体" w:cs="黑体"/>
          <w:bCs/>
          <w:color w:val="000000"/>
          <w:sz w:val="32"/>
          <w:szCs w:val="32"/>
        </w:rPr>
      </w:pPr>
      <w:r>
        <w:rPr>
          <w:rFonts w:ascii="黑体" w:eastAsia="黑体" w:hAnsi="黑体" w:cs="黑体" w:hint="eastAsia"/>
          <w:bCs/>
          <w:color w:val="000000"/>
          <w:sz w:val="32"/>
          <w:szCs w:val="32"/>
        </w:rPr>
        <w:t>二、“三公”经费财政拨款预算情况说明</w:t>
      </w:r>
    </w:p>
    <w:p w:rsidR="00E85175" w:rsidRDefault="00E85175" w:rsidP="008D47E4">
      <w:pPr>
        <w:spacing w:line="56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2018</w:t>
      </w:r>
      <w:r>
        <w:rPr>
          <w:rFonts w:ascii="仿宋_GB2312" w:eastAsia="仿宋_GB2312" w:hAnsi="仿宋_GB2312" w:cs="仿宋_GB2312" w:hint="eastAsia"/>
          <w:color w:val="000000"/>
          <w:sz w:val="32"/>
          <w:szCs w:val="32"/>
        </w:rPr>
        <w:t>年“三公”经费财政拨款预算</w:t>
      </w:r>
      <w:r>
        <w:rPr>
          <w:rFonts w:ascii="仿宋_GB2312" w:eastAsia="仿宋_GB2312" w:hAnsi="仿宋_GB2312" w:cs="仿宋_GB2312"/>
          <w:color w:val="000000"/>
          <w:sz w:val="32"/>
          <w:szCs w:val="32"/>
        </w:rPr>
        <w:t>4.7</w:t>
      </w:r>
      <w:r>
        <w:rPr>
          <w:rFonts w:ascii="仿宋_GB2312" w:eastAsia="仿宋_GB2312" w:hAnsi="仿宋_GB2312" w:cs="仿宋_GB2312" w:hint="eastAsia"/>
          <w:color w:val="000000"/>
          <w:sz w:val="32"/>
          <w:szCs w:val="32"/>
        </w:rPr>
        <w:t>万元，与</w:t>
      </w:r>
      <w:r>
        <w:rPr>
          <w:rFonts w:ascii="仿宋_GB2312" w:eastAsia="仿宋_GB2312" w:hAnsi="仿宋_GB2312" w:cs="仿宋_GB2312"/>
          <w:color w:val="000000"/>
          <w:sz w:val="32"/>
          <w:szCs w:val="32"/>
        </w:rPr>
        <w:t>2018</w:t>
      </w:r>
      <w:r>
        <w:rPr>
          <w:rFonts w:ascii="仿宋_GB2312" w:eastAsia="仿宋_GB2312" w:hAnsi="仿宋_GB2312" w:cs="仿宋_GB2312" w:hint="eastAsia"/>
          <w:color w:val="000000"/>
          <w:sz w:val="32"/>
          <w:szCs w:val="32"/>
        </w:rPr>
        <w:t>年“三公”经费财政拨款预算持平。</w:t>
      </w:r>
    </w:p>
    <w:p w:rsidR="00E85175" w:rsidRDefault="00E85175" w:rsidP="008D47E4">
      <w:pPr>
        <w:spacing w:line="56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（一）因公出国（境）费用。</w:t>
      </w:r>
      <w:r>
        <w:rPr>
          <w:rFonts w:ascii="仿宋_GB2312" w:eastAsia="仿宋_GB2312" w:hAnsi="仿宋_GB2312" w:cs="仿宋_GB2312"/>
          <w:color w:val="000000"/>
          <w:sz w:val="32"/>
          <w:szCs w:val="32"/>
        </w:rPr>
        <w:t>2018</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万元。为进一步规范因公出国（境）经费管理，我区因公出国（境）经费完全按零基预算的原则根据市因公出国计划预审会议审定计划动态调配使用，因此各单位</w:t>
      </w:r>
      <w:r>
        <w:rPr>
          <w:rFonts w:ascii="仿宋_GB2312" w:eastAsia="仿宋_GB2312" w:hAnsi="仿宋_GB2312" w:cs="仿宋_GB2312"/>
          <w:color w:val="000000"/>
          <w:sz w:val="32"/>
          <w:szCs w:val="32"/>
        </w:rPr>
        <w:t>2018</w:t>
      </w:r>
      <w:r>
        <w:rPr>
          <w:rFonts w:ascii="仿宋_GB2312" w:eastAsia="仿宋_GB2312" w:hAnsi="仿宋_GB2312" w:cs="仿宋_GB2312" w:hint="eastAsia"/>
          <w:color w:val="000000"/>
          <w:sz w:val="32"/>
          <w:szCs w:val="32"/>
        </w:rPr>
        <w:t>年因公出国（境）经费预算数为零，在实际执行中根据计划据实调配。</w:t>
      </w:r>
    </w:p>
    <w:p w:rsidR="00E85175" w:rsidRDefault="00E85175" w:rsidP="008D47E4">
      <w:pPr>
        <w:spacing w:line="56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（二）公务接待费。</w:t>
      </w:r>
      <w:r>
        <w:rPr>
          <w:rFonts w:ascii="仿宋_GB2312" w:eastAsia="仿宋_GB2312" w:hAnsi="仿宋_GB2312" w:cs="仿宋_GB2312"/>
          <w:color w:val="000000"/>
          <w:sz w:val="32"/>
          <w:szCs w:val="32"/>
        </w:rPr>
        <w:t>2018</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0.8</w:t>
      </w:r>
      <w:r>
        <w:rPr>
          <w:rFonts w:ascii="仿宋_GB2312" w:eastAsia="仿宋_GB2312" w:hAnsi="仿宋_GB2312" w:cs="仿宋_GB2312" w:hint="eastAsia"/>
          <w:color w:val="000000"/>
          <w:sz w:val="32"/>
          <w:szCs w:val="32"/>
        </w:rPr>
        <w:t>万元，与</w:t>
      </w:r>
      <w:r>
        <w:rPr>
          <w:rFonts w:ascii="仿宋_GB2312" w:eastAsia="仿宋_GB2312" w:hAnsi="仿宋_GB2312" w:cs="仿宋_GB2312"/>
          <w:color w:val="000000"/>
          <w:sz w:val="32"/>
          <w:szCs w:val="32"/>
        </w:rPr>
        <w:t>2017</w:t>
      </w:r>
      <w:r>
        <w:rPr>
          <w:rFonts w:ascii="仿宋_GB2312" w:eastAsia="仿宋_GB2312" w:hAnsi="仿宋_GB2312" w:cs="仿宋_GB2312" w:hint="eastAsia"/>
          <w:color w:val="000000"/>
          <w:sz w:val="32"/>
          <w:szCs w:val="32"/>
        </w:rPr>
        <w:t>年预算数持平。主要用于交流调研等业务活动支出。</w:t>
      </w:r>
    </w:p>
    <w:p w:rsidR="00E85175" w:rsidRDefault="00E85175" w:rsidP="0028368F">
      <w:pPr>
        <w:spacing w:line="560"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（三）公务用车购置和运行维护费。</w:t>
      </w:r>
      <w:r>
        <w:rPr>
          <w:rFonts w:ascii="仿宋_GB2312" w:eastAsia="仿宋_GB2312" w:hAnsi="仿宋_GB2312" w:cs="仿宋_GB2312"/>
          <w:color w:val="000000"/>
          <w:sz w:val="32"/>
          <w:szCs w:val="32"/>
        </w:rPr>
        <w:t>2018</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3.9</w:t>
      </w:r>
      <w:r>
        <w:rPr>
          <w:rFonts w:ascii="仿宋_GB2312" w:eastAsia="仿宋_GB2312" w:hAnsi="仿宋_GB2312" w:cs="仿宋_GB2312" w:hint="eastAsia"/>
          <w:color w:val="000000"/>
          <w:sz w:val="32"/>
          <w:szCs w:val="32"/>
        </w:rPr>
        <w:t>万元，其中：公务用车购置费</w:t>
      </w:r>
      <w:r>
        <w:rPr>
          <w:rFonts w:ascii="仿宋_GB2312" w:eastAsia="仿宋_GB2312" w:hAnsi="仿宋_GB2312" w:cs="仿宋_GB2312"/>
          <w:color w:val="000000"/>
          <w:sz w:val="32"/>
          <w:szCs w:val="32"/>
        </w:rPr>
        <w:t>2018</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万元，与</w:t>
      </w:r>
      <w:r>
        <w:rPr>
          <w:rFonts w:ascii="仿宋_GB2312" w:eastAsia="仿宋_GB2312" w:hAnsi="仿宋_GB2312" w:cs="仿宋_GB2312"/>
          <w:color w:val="000000"/>
          <w:sz w:val="32"/>
          <w:szCs w:val="32"/>
        </w:rPr>
        <w:t>2017</w:t>
      </w:r>
      <w:r>
        <w:rPr>
          <w:rFonts w:ascii="仿宋_GB2312" w:eastAsia="仿宋_GB2312" w:hAnsi="仿宋_GB2312" w:cs="仿宋_GB2312" w:hint="eastAsia"/>
          <w:color w:val="000000"/>
          <w:sz w:val="32"/>
          <w:szCs w:val="32"/>
        </w:rPr>
        <w:t>年预算数持平</w:t>
      </w:r>
      <w:r>
        <w:rPr>
          <w:rFonts w:ascii="仿宋_GB2312" w:eastAsia="仿宋_GB2312" w:hAnsi="仿宋_GB2312" w:cs="仿宋_GB2312" w:hint="eastAsia"/>
          <w:sz w:val="32"/>
          <w:szCs w:val="32"/>
        </w:rPr>
        <w:t>；本单位公务用车</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台，</w:t>
      </w:r>
      <w:r>
        <w:rPr>
          <w:rFonts w:ascii="仿宋_GB2312" w:eastAsia="仿宋_GB2312" w:hAnsi="仿宋_GB2312" w:cs="仿宋_GB2312" w:hint="eastAsia"/>
          <w:color w:val="000000"/>
          <w:sz w:val="32"/>
          <w:szCs w:val="32"/>
        </w:rPr>
        <w:t>公务用车运行维护费</w:t>
      </w:r>
      <w:r>
        <w:rPr>
          <w:rFonts w:ascii="仿宋_GB2312" w:eastAsia="仿宋_GB2312" w:hAnsi="仿宋_GB2312" w:cs="仿宋_GB2312"/>
          <w:color w:val="000000"/>
          <w:sz w:val="32"/>
          <w:szCs w:val="32"/>
        </w:rPr>
        <w:t>2018</w:t>
      </w:r>
      <w:r>
        <w:rPr>
          <w:rFonts w:ascii="仿宋_GB2312" w:eastAsia="仿宋_GB2312" w:hAnsi="仿宋_GB2312" w:cs="仿宋_GB2312" w:hint="eastAsia"/>
          <w:color w:val="000000"/>
          <w:sz w:val="32"/>
          <w:szCs w:val="32"/>
        </w:rPr>
        <w:t>年预算数</w:t>
      </w:r>
      <w:r>
        <w:rPr>
          <w:rFonts w:ascii="仿宋_GB2312" w:eastAsia="仿宋_GB2312" w:hAnsi="仿宋_GB2312" w:cs="仿宋_GB2312"/>
          <w:color w:val="000000"/>
          <w:sz w:val="32"/>
          <w:szCs w:val="32"/>
        </w:rPr>
        <w:t>3.9</w:t>
      </w:r>
      <w:r>
        <w:rPr>
          <w:rFonts w:ascii="仿宋_GB2312" w:eastAsia="仿宋_GB2312" w:hAnsi="仿宋_GB2312" w:cs="仿宋_GB2312" w:hint="eastAsia"/>
          <w:color w:val="000000"/>
          <w:sz w:val="32"/>
          <w:szCs w:val="32"/>
        </w:rPr>
        <w:t>万元，与</w:t>
      </w:r>
      <w:r>
        <w:rPr>
          <w:rFonts w:ascii="仿宋_GB2312" w:eastAsia="仿宋_GB2312" w:hAnsi="仿宋_GB2312" w:cs="仿宋_GB2312"/>
          <w:color w:val="000000"/>
          <w:sz w:val="32"/>
          <w:szCs w:val="32"/>
        </w:rPr>
        <w:t>2017</w:t>
      </w:r>
      <w:r>
        <w:rPr>
          <w:rFonts w:ascii="仿宋_GB2312" w:eastAsia="仿宋_GB2312" w:hAnsi="仿宋_GB2312" w:cs="仿宋_GB2312" w:hint="eastAsia"/>
          <w:color w:val="000000"/>
          <w:sz w:val="32"/>
          <w:szCs w:val="32"/>
        </w:rPr>
        <w:t>年预算数持平。</w:t>
      </w:r>
    </w:p>
    <w:bookmarkEnd w:id="0"/>
    <w:p w:rsidR="00E85175" w:rsidRDefault="00E85175" w:rsidP="008D47E4">
      <w:pPr>
        <w:spacing w:line="560" w:lineRule="exact"/>
        <w:ind w:firstLineChars="200" w:firstLine="31680"/>
        <w:rPr>
          <w:rFonts w:ascii="仿宋_GB2312" w:eastAsia="仿宋_GB2312" w:hAnsi="仿宋_GB2312" w:cs="仿宋_GB2312"/>
          <w:color w:val="000000"/>
          <w:sz w:val="32"/>
          <w:szCs w:val="32"/>
        </w:rPr>
      </w:pPr>
    </w:p>
    <w:p w:rsidR="00E85175" w:rsidRDefault="00E85175" w:rsidP="008D47E4">
      <w:pPr>
        <w:spacing w:line="560" w:lineRule="exact"/>
        <w:ind w:firstLineChars="200" w:firstLine="31680"/>
        <w:rPr>
          <w:rFonts w:ascii="仿宋_GB2312" w:eastAsia="仿宋_GB2312" w:hAnsi="仿宋_GB2312" w:cs="仿宋_GB2312"/>
          <w:color w:val="000000"/>
          <w:sz w:val="32"/>
          <w:szCs w:val="32"/>
        </w:rPr>
      </w:pPr>
    </w:p>
    <w:p w:rsidR="00E85175" w:rsidRDefault="00E85175" w:rsidP="008D47E4">
      <w:pPr>
        <w:spacing w:line="560" w:lineRule="exact"/>
        <w:ind w:firstLineChars="200" w:firstLine="31680"/>
        <w:rPr>
          <w:rFonts w:ascii="仿宋_GB2312" w:eastAsia="仿宋_GB2312" w:hAnsi="仿宋_GB2312" w:cs="仿宋_GB2312"/>
          <w:color w:val="000000"/>
          <w:sz w:val="32"/>
          <w:szCs w:val="32"/>
        </w:rPr>
      </w:pPr>
    </w:p>
    <w:p w:rsidR="00E85175" w:rsidRDefault="00E85175" w:rsidP="008D47E4">
      <w:pPr>
        <w:spacing w:line="560" w:lineRule="exact"/>
        <w:ind w:firstLineChars="200" w:firstLine="31680"/>
        <w:rPr>
          <w:rFonts w:ascii="仿宋_GB2312" w:eastAsia="仿宋_GB2312" w:hAnsi="仿宋_GB2312" w:cs="仿宋_GB2312"/>
          <w:color w:val="000000"/>
          <w:sz w:val="32"/>
          <w:szCs w:val="32"/>
        </w:rPr>
      </w:pPr>
    </w:p>
    <w:p w:rsidR="00E85175" w:rsidRDefault="00E85175">
      <w:pPr>
        <w:jc w:val="center"/>
        <w:rPr>
          <w:rFonts w:ascii="黑体" w:eastAsia="黑体" w:hAnsi="黑体" w:cs="黑体"/>
          <w:bCs/>
          <w:color w:val="000000"/>
          <w:sz w:val="32"/>
          <w:szCs w:val="32"/>
        </w:rPr>
      </w:pPr>
      <w:r>
        <w:rPr>
          <w:rFonts w:ascii="黑体" w:eastAsia="黑体" w:hAnsi="黑体" w:cs="黑体" w:hint="eastAsia"/>
          <w:bCs/>
          <w:color w:val="000000"/>
          <w:sz w:val="32"/>
          <w:szCs w:val="32"/>
        </w:rPr>
        <w:t>附表：</w:t>
      </w:r>
      <w:r>
        <w:rPr>
          <w:rFonts w:ascii="黑体" w:eastAsia="黑体" w:hAnsi="黑体" w:cs="黑体"/>
          <w:bCs/>
          <w:color w:val="000000"/>
          <w:sz w:val="32"/>
          <w:szCs w:val="32"/>
        </w:rPr>
        <w:t>2018</w:t>
      </w:r>
      <w:r>
        <w:rPr>
          <w:rFonts w:ascii="黑体" w:eastAsia="黑体" w:hAnsi="黑体" w:cs="黑体" w:hint="eastAsia"/>
          <w:bCs/>
          <w:color w:val="000000"/>
          <w:sz w:val="32"/>
          <w:szCs w:val="32"/>
        </w:rPr>
        <w:t>年“三公”经费财政拨款预算情况表</w:t>
      </w:r>
    </w:p>
    <w:tbl>
      <w:tblPr>
        <w:tblW w:w="90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595"/>
        <w:gridCol w:w="960"/>
        <w:gridCol w:w="925"/>
        <w:gridCol w:w="989"/>
        <w:gridCol w:w="937"/>
        <w:gridCol w:w="948"/>
        <w:gridCol w:w="872"/>
        <w:gridCol w:w="834"/>
      </w:tblGrid>
      <w:tr w:rsidR="00E85175" w:rsidTr="00F12584">
        <w:trPr>
          <w:trHeight w:val="135"/>
          <w:jc w:val="center"/>
        </w:trPr>
        <w:tc>
          <w:tcPr>
            <w:tcW w:w="6406" w:type="dxa"/>
            <w:gridSpan w:val="5"/>
            <w:tcBorders>
              <w:top w:val="nil"/>
              <w:left w:val="nil"/>
              <w:bottom w:val="single" w:sz="4" w:space="0" w:color="auto"/>
              <w:right w:val="nil"/>
            </w:tcBorders>
            <w:vAlign w:val="center"/>
          </w:tcPr>
          <w:p w:rsidR="00E85175" w:rsidRPr="00F12584" w:rsidRDefault="00E85175" w:rsidP="00F12584">
            <w:pPr>
              <w:jc w:val="left"/>
              <w:rPr>
                <w:rFonts w:ascii="宋体" w:cs="宋体"/>
                <w:color w:val="000000"/>
                <w:kern w:val="0"/>
                <w:sz w:val="20"/>
                <w:szCs w:val="20"/>
              </w:rPr>
            </w:pPr>
            <w:r w:rsidRPr="00F12584">
              <w:rPr>
                <w:rFonts w:ascii="Times New Roman" w:hAnsi="Times New Roman" w:hint="eastAsia"/>
                <w:color w:val="000000"/>
                <w:kern w:val="0"/>
                <w:sz w:val="20"/>
                <w:szCs w:val="20"/>
              </w:rPr>
              <w:t>单位名称：</w:t>
            </w:r>
            <w:r w:rsidRPr="00F12584">
              <w:rPr>
                <w:rFonts w:ascii="Times New Roman" w:hAnsi="Times New Roman" w:hint="eastAsia"/>
                <w:color w:val="000000"/>
                <w:kern w:val="0"/>
                <w:sz w:val="20"/>
              </w:rPr>
              <w:t>福田区发展研究中心</w:t>
            </w:r>
          </w:p>
        </w:tc>
        <w:tc>
          <w:tcPr>
            <w:tcW w:w="2654" w:type="dxa"/>
            <w:gridSpan w:val="3"/>
            <w:tcBorders>
              <w:top w:val="nil"/>
              <w:left w:val="nil"/>
              <w:bottom w:val="single" w:sz="4" w:space="0" w:color="auto"/>
              <w:right w:val="nil"/>
            </w:tcBorders>
            <w:vAlign w:val="center"/>
          </w:tcPr>
          <w:p w:rsidR="00E85175" w:rsidRPr="00F12584" w:rsidRDefault="00E85175" w:rsidP="00444C83">
            <w:pPr>
              <w:wordWrap w:val="0"/>
              <w:jc w:val="right"/>
              <w:rPr>
                <w:rFonts w:ascii="宋体" w:cs="宋体"/>
                <w:color w:val="000000"/>
                <w:kern w:val="0"/>
                <w:sz w:val="20"/>
                <w:szCs w:val="20"/>
              </w:rPr>
            </w:pPr>
            <w:r w:rsidRPr="00F12584">
              <w:rPr>
                <w:rFonts w:ascii="Times New Roman" w:hAnsi="Times New Roman" w:hint="eastAsia"/>
                <w:color w:val="000000"/>
                <w:kern w:val="0"/>
                <w:sz w:val="20"/>
                <w:szCs w:val="20"/>
                <w:lang w:eastAsia="en-US"/>
              </w:rPr>
              <w:t>单位：万元</w:t>
            </w:r>
            <w:r>
              <w:rPr>
                <w:rFonts w:ascii="Times New Roman" w:hAnsi="Times New Roman"/>
                <w:color w:val="000000"/>
                <w:kern w:val="0"/>
                <w:sz w:val="20"/>
                <w:szCs w:val="20"/>
              </w:rPr>
              <w:t xml:space="preserve"> </w:t>
            </w:r>
          </w:p>
        </w:tc>
      </w:tr>
      <w:tr w:rsidR="00E85175" w:rsidTr="00F12584">
        <w:trPr>
          <w:trHeight w:val="145"/>
          <w:jc w:val="center"/>
        </w:trPr>
        <w:tc>
          <w:tcPr>
            <w:tcW w:w="2595" w:type="dxa"/>
            <w:vMerge w:val="restart"/>
            <w:tcBorders>
              <w:top w:val="single" w:sz="4" w:space="0" w:color="auto"/>
              <w:bottom w:val="single" w:sz="4" w:space="0" w:color="000000"/>
            </w:tcBorders>
            <w:vAlign w:val="center"/>
          </w:tcPr>
          <w:p w:rsidR="00E85175" w:rsidRPr="00F12584" w:rsidRDefault="00E85175" w:rsidP="00F12584">
            <w:pPr>
              <w:jc w:val="center"/>
              <w:rPr>
                <w:rFonts w:ascii="宋体" w:cs="宋体"/>
                <w:color w:val="000000"/>
                <w:kern w:val="0"/>
                <w:sz w:val="20"/>
                <w:szCs w:val="20"/>
                <w:lang w:eastAsia="en-US"/>
              </w:rPr>
            </w:pPr>
            <w:r w:rsidRPr="00F12584">
              <w:rPr>
                <w:rFonts w:ascii="宋体" w:hAnsi="宋体" w:cs="宋体" w:hint="eastAsia"/>
                <w:color w:val="000000"/>
                <w:kern w:val="0"/>
                <w:sz w:val="20"/>
                <w:szCs w:val="20"/>
                <w:lang w:eastAsia="en-US"/>
              </w:rPr>
              <w:t>预算单位</w:t>
            </w:r>
          </w:p>
        </w:tc>
        <w:tc>
          <w:tcPr>
            <w:tcW w:w="960" w:type="dxa"/>
            <w:vMerge w:val="restart"/>
            <w:tcBorders>
              <w:top w:val="single" w:sz="4" w:space="0" w:color="auto"/>
              <w:bottom w:val="single" w:sz="4" w:space="0" w:color="auto"/>
            </w:tcBorders>
            <w:vAlign w:val="center"/>
          </w:tcPr>
          <w:p w:rsidR="00E85175" w:rsidRPr="00F12584" w:rsidRDefault="00E85175" w:rsidP="00F12584">
            <w:pPr>
              <w:jc w:val="center"/>
              <w:rPr>
                <w:rFonts w:ascii="宋体" w:cs="宋体"/>
                <w:color w:val="000000"/>
                <w:kern w:val="0"/>
                <w:sz w:val="20"/>
                <w:szCs w:val="20"/>
                <w:lang w:eastAsia="en-US"/>
              </w:rPr>
            </w:pPr>
            <w:r w:rsidRPr="00F12584">
              <w:rPr>
                <w:rFonts w:ascii="宋体" w:hAnsi="宋体" w:cs="宋体" w:hint="eastAsia"/>
                <w:color w:val="000000"/>
                <w:kern w:val="0"/>
                <w:sz w:val="20"/>
                <w:szCs w:val="20"/>
                <w:lang w:eastAsia="en-US"/>
              </w:rPr>
              <w:t>年度</w:t>
            </w:r>
          </w:p>
        </w:tc>
        <w:tc>
          <w:tcPr>
            <w:tcW w:w="925" w:type="dxa"/>
            <w:vMerge w:val="restart"/>
            <w:tcBorders>
              <w:top w:val="single" w:sz="4" w:space="0" w:color="auto"/>
              <w:bottom w:val="single" w:sz="4" w:space="0" w:color="auto"/>
            </w:tcBorders>
            <w:vAlign w:val="center"/>
          </w:tcPr>
          <w:p w:rsidR="00E85175" w:rsidRPr="00F12584" w:rsidRDefault="00E85175" w:rsidP="00F12584">
            <w:pPr>
              <w:jc w:val="center"/>
              <w:rPr>
                <w:rFonts w:ascii="宋体" w:cs="宋体"/>
                <w:color w:val="000000"/>
                <w:kern w:val="0"/>
                <w:sz w:val="20"/>
                <w:szCs w:val="20"/>
              </w:rPr>
            </w:pPr>
            <w:r w:rsidRPr="00F12584">
              <w:rPr>
                <w:rFonts w:ascii="宋体" w:hAnsi="宋体" w:cs="宋体" w:hint="eastAsia"/>
                <w:color w:val="000000"/>
                <w:kern w:val="0"/>
                <w:sz w:val="20"/>
                <w:szCs w:val="20"/>
              </w:rPr>
              <w:t>“三公”经费财政拨款预算总额</w:t>
            </w:r>
          </w:p>
        </w:tc>
        <w:tc>
          <w:tcPr>
            <w:tcW w:w="989" w:type="dxa"/>
            <w:vMerge w:val="restart"/>
            <w:tcBorders>
              <w:top w:val="single" w:sz="4" w:space="0" w:color="auto"/>
              <w:bottom w:val="single" w:sz="4" w:space="0" w:color="auto"/>
            </w:tcBorders>
            <w:vAlign w:val="center"/>
          </w:tcPr>
          <w:p w:rsidR="00E85175" w:rsidRPr="00F12584" w:rsidRDefault="00E85175" w:rsidP="00F12584">
            <w:pPr>
              <w:jc w:val="center"/>
              <w:rPr>
                <w:rFonts w:ascii="宋体" w:cs="宋体"/>
                <w:color w:val="000000"/>
                <w:kern w:val="0"/>
                <w:sz w:val="20"/>
                <w:szCs w:val="20"/>
                <w:lang w:eastAsia="en-US"/>
              </w:rPr>
            </w:pPr>
            <w:r w:rsidRPr="00F12584">
              <w:rPr>
                <w:rFonts w:ascii="宋体" w:hAnsi="宋体" w:cs="宋体" w:hint="eastAsia"/>
                <w:color w:val="000000"/>
                <w:kern w:val="0"/>
                <w:sz w:val="20"/>
                <w:szCs w:val="20"/>
                <w:lang w:eastAsia="en-US"/>
              </w:rPr>
              <w:t>因公出国</w:t>
            </w:r>
            <w:r w:rsidRPr="00F12584">
              <w:rPr>
                <w:rFonts w:ascii="宋体" w:hAnsi="宋体" w:cs="宋体"/>
                <w:color w:val="000000"/>
                <w:kern w:val="0"/>
                <w:sz w:val="20"/>
                <w:szCs w:val="20"/>
                <w:lang w:eastAsia="en-US"/>
              </w:rPr>
              <w:t>(</w:t>
            </w:r>
            <w:r w:rsidRPr="00F12584">
              <w:rPr>
                <w:rFonts w:ascii="宋体" w:hAnsi="宋体" w:cs="宋体" w:hint="eastAsia"/>
                <w:color w:val="000000"/>
                <w:kern w:val="0"/>
                <w:sz w:val="20"/>
                <w:szCs w:val="20"/>
                <w:lang w:eastAsia="en-US"/>
              </w:rPr>
              <w:t>境</w:t>
            </w:r>
            <w:r w:rsidRPr="00F12584">
              <w:rPr>
                <w:rFonts w:ascii="宋体" w:hAnsi="宋体" w:cs="宋体"/>
                <w:color w:val="000000"/>
                <w:kern w:val="0"/>
                <w:sz w:val="20"/>
                <w:szCs w:val="20"/>
                <w:lang w:eastAsia="en-US"/>
              </w:rPr>
              <w:t>)</w:t>
            </w:r>
            <w:r w:rsidRPr="00F12584">
              <w:rPr>
                <w:rFonts w:ascii="宋体" w:hAnsi="宋体" w:cs="宋体" w:hint="eastAsia"/>
                <w:color w:val="000000"/>
                <w:kern w:val="0"/>
                <w:sz w:val="20"/>
                <w:szCs w:val="20"/>
                <w:lang w:eastAsia="en-US"/>
              </w:rPr>
              <w:t>费</w:t>
            </w:r>
          </w:p>
        </w:tc>
        <w:tc>
          <w:tcPr>
            <w:tcW w:w="937" w:type="dxa"/>
            <w:vMerge w:val="restart"/>
            <w:tcBorders>
              <w:top w:val="single" w:sz="4" w:space="0" w:color="auto"/>
              <w:bottom w:val="single" w:sz="4" w:space="0" w:color="auto"/>
            </w:tcBorders>
            <w:vAlign w:val="center"/>
          </w:tcPr>
          <w:p w:rsidR="00E85175" w:rsidRPr="00F12584" w:rsidRDefault="00E85175" w:rsidP="00F12584">
            <w:pPr>
              <w:jc w:val="center"/>
              <w:rPr>
                <w:rFonts w:ascii="宋体" w:cs="宋体"/>
                <w:color w:val="000000"/>
                <w:kern w:val="0"/>
                <w:sz w:val="20"/>
                <w:szCs w:val="20"/>
                <w:lang w:eastAsia="en-US"/>
              </w:rPr>
            </w:pPr>
            <w:r w:rsidRPr="00F12584">
              <w:rPr>
                <w:rFonts w:ascii="宋体" w:hAnsi="宋体" w:cs="宋体" w:hint="eastAsia"/>
                <w:color w:val="000000"/>
                <w:kern w:val="0"/>
                <w:sz w:val="20"/>
                <w:szCs w:val="20"/>
                <w:lang w:eastAsia="en-US"/>
              </w:rPr>
              <w:t>公务接待费</w:t>
            </w:r>
          </w:p>
        </w:tc>
        <w:tc>
          <w:tcPr>
            <w:tcW w:w="2654" w:type="dxa"/>
            <w:gridSpan w:val="3"/>
            <w:tcBorders>
              <w:top w:val="single" w:sz="4" w:space="0" w:color="auto"/>
              <w:bottom w:val="single" w:sz="4" w:space="0" w:color="auto"/>
            </w:tcBorders>
            <w:vAlign w:val="center"/>
          </w:tcPr>
          <w:p w:rsidR="00E85175" w:rsidRPr="00F12584" w:rsidRDefault="00E85175" w:rsidP="00F12584">
            <w:pPr>
              <w:jc w:val="center"/>
              <w:rPr>
                <w:rFonts w:ascii="宋体" w:cs="宋体"/>
                <w:color w:val="000000"/>
                <w:kern w:val="0"/>
                <w:sz w:val="20"/>
                <w:szCs w:val="20"/>
              </w:rPr>
            </w:pPr>
            <w:r w:rsidRPr="00F12584">
              <w:rPr>
                <w:rFonts w:ascii="宋体" w:hAnsi="宋体" w:cs="宋体" w:hint="eastAsia"/>
                <w:color w:val="000000"/>
                <w:kern w:val="0"/>
                <w:sz w:val="20"/>
                <w:szCs w:val="20"/>
              </w:rPr>
              <w:t>公务用车购置及运行维护费</w:t>
            </w:r>
          </w:p>
        </w:tc>
      </w:tr>
      <w:tr w:rsidR="00E85175" w:rsidTr="00F12584">
        <w:trPr>
          <w:trHeight w:val="405"/>
          <w:jc w:val="center"/>
        </w:trPr>
        <w:tc>
          <w:tcPr>
            <w:tcW w:w="2595" w:type="dxa"/>
            <w:vMerge/>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宋体" w:cs="宋体"/>
                <w:color w:val="000000"/>
                <w:kern w:val="0"/>
                <w:sz w:val="20"/>
                <w:szCs w:val="20"/>
              </w:rPr>
            </w:pPr>
          </w:p>
        </w:tc>
        <w:tc>
          <w:tcPr>
            <w:tcW w:w="960" w:type="dxa"/>
            <w:vMerge/>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宋体" w:cs="宋体"/>
                <w:color w:val="000000"/>
                <w:kern w:val="0"/>
                <w:sz w:val="20"/>
                <w:szCs w:val="20"/>
              </w:rPr>
            </w:pPr>
          </w:p>
        </w:tc>
        <w:tc>
          <w:tcPr>
            <w:tcW w:w="925" w:type="dxa"/>
            <w:vMerge/>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宋体" w:cs="宋体"/>
                <w:color w:val="000000"/>
                <w:kern w:val="0"/>
                <w:sz w:val="20"/>
                <w:szCs w:val="20"/>
              </w:rPr>
            </w:pPr>
          </w:p>
        </w:tc>
        <w:tc>
          <w:tcPr>
            <w:tcW w:w="989" w:type="dxa"/>
            <w:vMerge/>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宋体" w:cs="宋体"/>
                <w:color w:val="000000"/>
                <w:kern w:val="0"/>
                <w:sz w:val="20"/>
                <w:szCs w:val="20"/>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宋体" w:cs="宋体"/>
                <w:color w:val="000000"/>
                <w:kern w:val="0"/>
                <w:sz w:val="20"/>
                <w:szCs w:val="20"/>
              </w:rPr>
            </w:pPr>
          </w:p>
        </w:tc>
        <w:tc>
          <w:tcPr>
            <w:tcW w:w="948" w:type="dxa"/>
            <w:tcBorders>
              <w:top w:val="single" w:sz="4" w:space="0" w:color="auto"/>
              <w:left w:val="single" w:sz="4" w:space="0" w:color="000000"/>
            </w:tcBorders>
            <w:vAlign w:val="center"/>
          </w:tcPr>
          <w:p w:rsidR="00E85175" w:rsidRPr="00F12584" w:rsidRDefault="00E85175" w:rsidP="00F12584">
            <w:pPr>
              <w:jc w:val="center"/>
              <w:rPr>
                <w:rFonts w:ascii="宋体" w:cs="宋体"/>
                <w:color w:val="000000"/>
                <w:kern w:val="0"/>
                <w:sz w:val="20"/>
                <w:szCs w:val="20"/>
                <w:lang w:eastAsia="en-US"/>
              </w:rPr>
            </w:pPr>
            <w:r w:rsidRPr="00F12584">
              <w:rPr>
                <w:rFonts w:ascii="宋体" w:hAnsi="宋体" w:cs="宋体" w:hint="eastAsia"/>
                <w:color w:val="000000"/>
                <w:kern w:val="0"/>
                <w:sz w:val="20"/>
                <w:szCs w:val="20"/>
                <w:lang w:eastAsia="en-US"/>
              </w:rPr>
              <w:t>小计</w:t>
            </w:r>
          </w:p>
        </w:tc>
        <w:tc>
          <w:tcPr>
            <w:tcW w:w="872" w:type="dxa"/>
            <w:tcBorders>
              <w:top w:val="single" w:sz="4" w:space="0" w:color="auto"/>
            </w:tcBorders>
            <w:vAlign w:val="center"/>
          </w:tcPr>
          <w:p w:rsidR="00E85175" w:rsidRPr="00F12584" w:rsidRDefault="00E85175" w:rsidP="00F12584">
            <w:pPr>
              <w:jc w:val="center"/>
              <w:rPr>
                <w:rFonts w:ascii="宋体" w:cs="宋体"/>
                <w:color w:val="000000"/>
                <w:kern w:val="0"/>
                <w:sz w:val="20"/>
                <w:szCs w:val="20"/>
                <w:lang w:eastAsia="en-US"/>
              </w:rPr>
            </w:pPr>
            <w:r w:rsidRPr="00F12584">
              <w:rPr>
                <w:rFonts w:ascii="宋体" w:hAnsi="宋体" w:cs="宋体" w:hint="eastAsia"/>
                <w:color w:val="000000"/>
                <w:kern w:val="0"/>
                <w:sz w:val="20"/>
                <w:szCs w:val="20"/>
                <w:lang w:eastAsia="en-US"/>
              </w:rPr>
              <w:t>公务用车购置费</w:t>
            </w:r>
          </w:p>
        </w:tc>
        <w:tc>
          <w:tcPr>
            <w:tcW w:w="834" w:type="dxa"/>
            <w:tcBorders>
              <w:top w:val="single" w:sz="4" w:space="0" w:color="auto"/>
            </w:tcBorders>
            <w:vAlign w:val="center"/>
          </w:tcPr>
          <w:p w:rsidR="00E85175" w:rsidRPr="00F12584" w:rsidRDefault="00E85175" w:rsidP="00F12584">
            <w:pPr>
              <w:jc w:val="center"/>
              <w:rPr>
                <w:rFonts w:ascii="宋体" w:cs="宋体"/>
                <w:color w:val="000000"/>
                <w:kern w:val="0"/>
                <w:sz w:val="20"/>
                <w:szCs w:val="20"/>
                <w:lang w:eastAsia="en-US"/>
              </w:rPr>
            </w:pPr>
            <w:r w:rsidRPr="00F12584">
              <w:rPr>
                <w:rFonts w:ascii="宋体" w:hAnsi="宋体" w:cs="宋体" w:hint="eastAsia"/>
                <w:color w:val="000000"/>
                <w:kern w:val="0"/>
                <w:sz w:val="20"/>
                <w:szCs w:val="20"/>
                <w:lang w:eastAsia="en-US"/>
              </w:rPr>
              <w:t>公务用车运行维护费</w:t>
            </w:r>
          </w:p>
        </w:tc>
      </w:tr>
      <w:tr w:rsidR="00E85175" w:rsidTr="00F12584">
        <w:trPr>
          <w:trHeight w:hRule="exact" w:val="340"/>
          <w:jc w:val="center"/>
        </w:trPr>
        <w:tc>
          <w:tcPr>
            <w:tcW w:w="2595"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rPr>
                <w:rFonts w:ascii="Times New Roman" w:hAnsi="Times New Roman"/>
                <w:color w:val="000000"/>
                <w:kern w:val="0"/>
                <w:sz w:val="20"/>
              </w:rPr>
            </w:pPr>
            <w:r w:rsidRPr="00F12584">
              <w:rPr>
                <w:rFonts w:ascii="Times New Roman" w:hAnsi="Times New Roman" w:hint="eastAsia"/>
                <w:color w:val="000000"/>
                <w:kern w:val="0"/>
                <w:sz w:val="20"/>
              </w:rPr>
              <w:t>福田区发展研究中心</w:t>
            </w:r>
          </w:p>
        </w:tc>
        <w:tc>
          <w:tcPr>
            <w:tcW w:w="960"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Times New Roman" w:hAnsi="Times New Roman"/>
                <w:color w:val="000000"/>
                <w:kern w:val="0"/>
                <w:sz w:val="20"/>
              </w:rPr>
            </w:pPr>
            <w:r w:rsidRPr="00F12584">
              <w:rPr>
                <w:rFonts w:ascii="Times New Roman" w:hAnsi="Times New Roman"/>
                <w:color w:val="000000"/>
                <w:kern w:val="0"/>
                <w:sz w:val="20"/>
                <w:lang w:eastAsia="en-US"/>
              </w:rPr>
              <w:t>201</w:t>
            </w:r>
            <w:r w:rsidRPr="00F12584">
              <w:rPr>
                <w:rFonts w:ascii="Times New Roman" w:hAnsi="Times New Roman"/>
                <w:color w:val="000000"/>
                <w:kern w:val="0"/>
                <w:sz w:val="20"/>
              </w:rPr>
              <w:t>7</w:t>
            </w:r>
          </w:p>
        </w:tc>
        <w:tc>
          <w:tcPr>
            <w:tcW w:w="925"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4.7</w:t>
            </w:r>
          </w:p>
        </w:tc>
        <w:tc>
          <w:tcPr>
            <w:tcW w:w="989"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宋体" w:cs="宋体"/>
                <w:color w:val="000000"/>
                <w:kern w:val="0"/>
                <w:sz w:val="18"/>
                <w:szCs w:val="18"/>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0.8</w:t>
            </w:r>
          </w:p>
        </w:tc>
        <w:tc>
          <w:tcPr>
            <w:tcW w:w="948"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3.9</w:t>
            </w:r>
          </w:p>
        </w:tc>
        <w:tc>
          <w:tcPr>
            <w:tcW w:w="872"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宋体" w:cs="宋体"/>
                <w:color w:val="000000"/>
                <w:kern w:val="0"/>
                <w:sz w:val="18"/>
                <w:szCs w:val="18"/>
                <w:lang w:eastAsia="en-US"/>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3.9</w:t>
            </w:r>
          </w:p>
        </w:tc>
      </w:tr>
      <w:tr w:rsidR="00E85175" w:rsidTr="00F12584">
        <w:trPr>
          <w:trHeight w:hRule="exact" w:val="340"/>
          <w:jc w:val="center"/>
        </w:trPr>
        <w:tc>
          <w:tcPr>
            <w:tcW w:w="2595"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rPr>
                <w:rFonts w:ascii="Times New Roman" w:hAnsi="Times New Roman"/>
                <w:color w:val="000000"/>
                <w:kern w:val="0"/>
                <w:sz w:val="20"/>
              </w:rPr>
            </w:pPr>
            <w:r w:rsidRPr="00F12584">
              <w:rPr>
                <w:rFonts w:ascii="Times New Roman" w:hAnsi="Times New Roman" w:hint="eastAsia"/>
                <w:color w:val="000000"/>
                <w:kern w:val="0"/>
                <w:sz w:val="20"/>
              </w:rPr>
              <w:t>福田区发展研究中心</w:t>
            </w:r>
          </w:p>
        </w:tc>
        <w:tc>
          <w:tcPr>
            <w:tcW w:w="960"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Times New Roman" w:hAnsi="Times New Roman"/>
                <w:color w:val="000000"/>
                <w:kern w:val="0"/>
                <w:sz w:val="20"/>
              </w:rPr>
            </w:pPr>
            <w:r w:rsidRPr="00F12584">
              <w:rPr>
                <w:rFonts w:ascii="Times New Roman" w:hAnsi="Times New Roman"/>
                <w:color w:val="000000"/>
                <w:kern w:val="0"/>
                <w:sz w:val="20"/>
                <w:lang w:eastAsia="en-US"/>
              </w:rPr>
              <w:t>201</w:t>
            </w:r>
            <w:r w:rsidRPr="00F12584">
              <w:rPr>
                <w:rFonts w:ascii="Times New Roman" w:hAnsi="Times New Roman"/>
                <w:color w:val="000000"/>
                <w:kern w:val="0"/>
                <w:sz w:val="20"/>
              </w:rPr>
              <w:t>8</w:t>
            </w:r>
          </w:p>
        </w:tc>
        <w:tc>
          <w:tcPr>
            <w:tcW w:w="925"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4.7</w:t>
            </w:r>
          </w:p>
        </w:tc>
        <w:tc>
          <w:tcPr>
            <w:tcW w:w="989"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宋体" w:cs="宋体"/>
                <w:color w:val="000000"/>
                <w:kern w:val="0"/>
                <w:sz w:val="18"/>
                <w:szCs w:val="18"/>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0.8</w:t>
            </w:r>
          </w:p>
        </w:tc>
        <w:tc>
          <w:tcPr>
            <w:tcW w:w="948"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3.9</w:t>
            </w:r>
          </w:p>
        </w:tc>
        <w:tc>
          <w:tcPr>
            <w:tcW w:w="872"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宋体" w:cs="宋体"/>
                <w:color w:val="000000"/>
                <w:kern w:val="0"/>
                <w:sz w:val="18"/>
                <w:szCs w:val="18"/>
                <w:lang w:eastAsia="en-US"/>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3.9</w:t>
            </w:r>
          </w:p>
        </w:tc>
      </w:tr>
      <w:tr w:rsidR="00E85175" w:rsidTr="00F12584">
        <w:trPr>
          <w:trHeight w:hRule="exact" w:val="340"/>
          <w:jc w:val="center"/>
        </w:trPr>
        <w:tc>
          <w:tcPr>
            <w:tcW w:w="2595"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rPr>
                <w:rFonts w:ascii="Times New Roman" w:hAnsi="Times New Roman"/>
                <w:color w:val="000000"/>
                <w:kern w:val="0"/>
                <w:sz w:val="20"/>
              </w:rPr>
            </w:pPr>
            <w:r w:rsidRPr="00F12584">
              <w:rPr>
                <w:rFonts w:ascii="Times New Roman" w:hAnsi="Times New Roman"/>
                <w:color w:val="000000"/>
                <w:kern w:val="0"/>
                <w:sz w:val="20"/>
              </w:rPr>
              <w:t xml:space="preserve">    </w:t>
            </w:r>
            <w:r w:rsidRPr="00F12584">
              <w:rPr>
                <w:rFonts w:ascii="Times New Roman" w:hAnsi="Times New Roman" w:hint="eastAsia"/>
                <w:color w:val="000000"/>
                <w:kern w:val="0"/>
                <w:sz w:val="20"/>
              </w:rPr>
              <w:t>福田区发展研究中心（本级）</w:t>
            </w:r>
          </w:p>
        </w:tc>
        <w:tc>
          <w:tcPr>
            <w:tcW w:w="960"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Times New Roman" w:hAnsi="Times New Roman"/>
                <w:color w:val="000000"/>
                <w:kern w:val="0"/>
                <w:sz w:val="20"/>
              </w:rPr>
            </w:pPr>
            <w:r w:rsidRPr="00F12584">
              <w:rPr>
                <w:rFonts w:ascii="Times New Roman" w:hAnsi="Times New Roman"/>
                <w:color w:val="000000"/>
                <w:kern w:val="0"/>
                <w:sz w:val="20"/>
                <w:lang w:eastAsia="en-US"/>
              </w:rPr>
              <w:t>201</w:t>
            </w:r>
            <w:r w:rsidRPr="00F12584">
              <w:rPr>
                <w:rFonts w:ascii="Times New Roman" w:hAnsi="Times New Roman"/>
                <w:color w:val="000000"/>
                <w:kern w:val="0"/>
                <w:sz w:val="20"/>
              </w:rPr>
              <w:t>7</w:t>
            </w:r>
          </w:p>
        </w:tc>
        <w:tc>
          <w:tcPr>
            <w:tcW w:w="925"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4.7</w:t>
            </w:r>
          </w:p>
        </w:tc>
        <w:tc>
          <w:tcPr>
            <w:tcW w:w="989"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宋体" w:cs="宋体"/>
                <w:color w:val="000000"/>
                <w:kern w:val="0"/>
                <w:sz w:val="18"/>
                <w:szCs w:val="18"/>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0.8</w:t>
            </w:r>
          </w:p>
        </w:tc>
        <w:tc>
          <w:tcPr>
            <w:tcW w:w="948"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3.9</w:t>
            </w:r>
          </w:p>
        </w:tc>
        <w:tc>
          <w:tcPr>
            <w:tcW w:w="872"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宋体" w:cs="宋体"/>
                <w:color w:val="000000"/>
                <w:kern w:val="0"/>
                <w:sz w:val="18"/>
                <w:szCs w:val="18"/>
                <w:lang w:eastAsia="en-US"/>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3.9</w:t>
            </w:r>
          </w:p>
        </w:tc>
      </w:tr>
      <w:tr w:rsidR="00E85175" w:rsidTr="00F12584">
        <w:trPr>
          <w:trHeight w:hRule="exact" w:val="340"/>
          <w:jc w:val="center"/>
        </w:trPr>
        <w:tc>
          <w:tcPr>
            <w:tcW w:w="2595"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rPr>
                <w:rFonts w:ascii="Times New Roman" w:hAnsi="Times New Roman"/>
                <w:color w:val="000000"/>
                <w:kern w:val="0"/>
                <w:sz w:val="20"/>
              </w:rPr>
            </w:pPr>
            <w:r w:rsidRPr="00F12584">
              <w:rPr>
                <w:rFonts w:ascii="Times New Roman" w:hAnsi="Times New Roman"/>
                <w:color w:val="000000"/>
                <w:kern w:val="0"/>
                <w:sz w:val="20"/>
              </w:rPr>
              <w:t xml:space="preserve">    </w:t>
            </w:r>
            <w:r w:rsidRPr="00F12584">
              <w:rPr>
                <w:rFonts w:ascii="Times New Roman" w:hAnsi="Times New Roman" w:hint="eastAsia"/>
                <w:color w:val="000000"/>
                <w:kern w:val="0"/>
                <w:sz w:val="20"/>
              </w:rPr>
              <w:t>福田区发展研究中心（本级）</w:t>
            </w:r>
          </w:p>
        </w:tc>
        <w:tc>
          <w:tcPr>
            <w:tcW w:w="960"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center"/>
              <w:rPr>
                <w:rFonts w:ascii="Times New Roman" w:hAnsi="Times New Roman"/>
                <w:color w:val="000000"/>
                <w:kern w:val="0"/>
                <w:sz w:val="20"/>
              </w:rPr>
            </w:pPr>
            <w:r w:rsidRPr="00F12584">
              <w:rPr>
                <w:rFonts w:ascii="Times New Roman" w:hAnsi="Times New Roman"/>
                <w:color w:val="000000"/>
                <w:kern w:val="0"/>
                <w:sz w:val="20"/>
                <w:lang w:eastAsia="en-US"/>
              </w:rPr>
              <w:t>201</w:t>
            </w:r>
            <w:r w:rsidRPr="00F12584">
              <w:rPr>
                <w:rFonts w:ascii="Times New Roman" w:hAnsi="Times New Roman"/>
                <w:color w:val="000000"/>
                <w:kern w:val="0"/>
                <w:sz w:val="20"/>
              </w:rPr>
              <w:t>8</w:t>
            </w:r>
          </w:p>
        </w:tc>
        <w:tc>
          <w:tcPr>
            <w:tcW w:w="925"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4.7</w:t>
            </w:r>
          </w:p>
        </w:tc>
        <w:tc>
          <w:tcPr>
            <w:tcW w:w="989"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宋体" w:cs="宋体"/>
                <w:color w:val="000000"/>
                <w:kern w:val="0"/>
                <w:sz w:val="18"/>
                <w:szCs w:val="18"/>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0.8</w:t>
            </w:r>
          </w:p>
        </w:tc>
        <w:tc>
          <w:tcPr>
            <w:tcW w:w="948"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3.9</w:t>
            </w:r>
          </w:p>
        </w:tc>
        <w:tc>
          <w:tcPr>
            <w:tcW w:w="872"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宋体" w:cs="宋体"/>
                <w:color w:val="000000"/>
                <w:kern w:val="0"/>
                <w:sz w:val="18"/>
                <w:szCs w:val="18"/>
                <w:lang w:eastAsia="en-US"/>
              </w:rPr>
            </w:pPr>
          </w:p>
        </w:tc>
        <w:tc>
          <w:tcPr>
            <w:tcW w:w="834" w:type="dxa"/>
            <w:tcBorders>
              <w:top w:val="single" w:sz="4" w:space="0" w:color="000000"/>
              <w:left w:val="single" w:sz="4" w:space="0" w:color="000000"/>
              <w:bottom w:val="single" w:sz="4" w:space="0" w:color="000000"/>
              <w:right w:val="single" w:sz="4" w:space="0" w:color="000000"/>
            </w:tcBorders>
            <w:vAlign w:val="center"/>
          </w:tcPr>
          <w:p w:rsidR="00E85175" w:rsidRPr="00F12584" w:rsidRDefault="00E85175" w:rsidP="00F12584">
            <w:pPr>
              <w:jc w:val="right"/>
              <w:rPr>
                <w:rFonts w:ascii="Times New Roman" w:hAnsi="Times New Roman"/>
                <w:color w:val="000000"/>
                <w:kern w:val="0"/>
                <w:sz w:val="20"/>
              </w:rPr>
            </w:pPr>
            <w:r w:rsidRPr="00F12584">
              <w:rPr>
                <w:rFonts w:ascii="Times New Roman" w:hAnsi="Times New Roman"/>
                <w:color w:val="000000"/>
                <w:kern w:val="0"/>
                <w:sz w:val="20"/>
              </w:rPr>
              <w:t>3.9</w:t>
            </w:r>
          </w:p>
        </w:tc>
      </w:tr>
    </w:tbl>
    <w:p w:rsidR="00E85175" w:rsidRDefault="00E85175"/>
    <w:sectPr w:rsidR="00E85175" w:rsidSect="001B78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2DB4886"/>
    <w:rsid w:val="001B782E"/>
    <w:rsid w:val="001C00CA"/>
    <w:rsid w:val="001D6DE6"/>
    <w:rsid w:val="0028368F"/>
    <w:rsid w:val="002C0EAE"/>
    <w:rsid w:val="00444C83"/>
    <w:rsid w:val="00537AFF"/>
    <w:rsid w:val="008D47E4"/>
    <w:rsid w:val="00E85175"/>
    <w:rsid w:val="00F12584"/>
    <w:rsid w:val="06124E83"/>
    <w:rsid w:val="0B0C2E2B"/>
    <w:rsid w:val="1E037C4D"/>
    <w:rsid w:val="229B2A6D"/>
    <w:rsid w:val="268D25C0"/>
    <w:rsid w:val="3170741A"/>
    <w:rsid w:val="32DB4886"/>
    <w:rsid w:val="34CD44AA"/>
    <w:rsid w:val="4577549F"/>
    <w:rsid w:val="539B75E1"/>
    <w:rsid w:val="55300D33"/>
    <w:rsid w:val="612E133C"/>
    <w:rsid w:val="65AE48DA"/>
    <w:rsid w:val="71183A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2E"/>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82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1B782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table" w:styleId="TableGrid">
    <w:name w:val="Table Grid"/>
    <w:basedOn w:val="TableNormal"/>
    <w:uiPriority w:val="99"/>
    <w:rsid w:val="001B782E"/>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0"/>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Pages>
  <Words>108</Words>
  <Characters>622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陈嫣嫣</cp:lastModifiedBy>
  <cp:revision>3</cp:revision>
  <dcterms:created xsi:type="dcterms:W3CDTF">2019-08-01T04:11:00Z</dcterms:created>
  <dcterms:modified xsi:type="dcterms:W3CDTF">2019-08-14T09:41:00Z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