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610" w:lineRule="atLeast"/>
        <w:ind w:firstLine="0"/>
        <w:jc w:val="both"/>
        <w:rPr>
          <w:rFonts w:hint="eastAsia" w:ascii="仿宋_GB2312" w:eastAsia="仿宋_GB2312"/>
          <w:color w:val="000000"/>
          <w:sz w:val="32"/>
          <w:szCs w:val="32"/>
          <w:highlight w:val="none"/>
          <w:u w:val="none" w:color="auto"/>
          <w:lang w:eastAsia="zh-CN"/>
        </w:rPr>
      </w:pPr>
      <w:r>
        <w:rPr>
          <w:rFonts w:hint="eastAsia" w:ascii="仿宋_GB2312" w:eastAsia="仿宋_GB2312"/>
          <w:color w:val="000000"/>
          <w:sz w:val="32"/>
          <w:szCs w:val="32"/>
          <w:highlight w:val="none"/>
          <w:u w:val="none" w:color="auto"/>
          <w:lang w:eastAsia="zh-CN"/>
        </w:rPr>
        <w:t>附件</w:t>
      </w:r>
      <w:r>
        <w:rPr>
          <w:rFonts w:hint="eastAsia" w:ascii="仿宋_GB2312" w:eastAsia="仿宋_GB2312"/>
          <w:color w:val="000000"/>
          <w:sz w:val="32"/>
          <w:szCs w:val="32"/>
          <w:highlight w:val="none"/>
          <w:u w:val="none" w:color="auto"/>
          <w:lang w:val="en-US" w:eastAsia="zh-CN"/>
        </w:rPr>
        <w:t>1</w:t>
      </w:r>
      <w:r>
        <w:rPr>
          <w:rFonts w:hint="eastAsia" w:ascii="仿宋_GB2312" w:eastAsia="仿宋_GB2312"/>
          <w:color w:val="000000"/>
          <w:sz w:val="32"/>
          <w:szCs w:val="32"/>
          <w:highlight w:val="none"/>
          <w:u w:val="none" w:color="auto"/>
          <w:lang w:eastAsia="zh-CN"/>
        </w:rPr>
        <w:t>：</w:t>
      </w:r>
    </w:p>
    <w:p>
      <w:pPr>
        <w:shd w:val="solid" w:color="FFFFFF" w:fill="auto"/>
        <w:autoSpaceDN w:val="0"/>
        <w:spacing w:line="610" w:lineRule="atLeast"/>
        <w:ind w:firstLine="0"/>
        <w:jc w:val="both"/>
        <w:rPr>
          <w:rFonts w:hint="eastAsia" w:ascii="仿宋_GB2312" w:eastAsia="仿宋_GB2312"/>
          <w:color w:val="000000"/>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sz w:val="44"/>
          <w:szCs w:val="44"/>
          <w:lang w:eastAsia="zh-CN"/>
        </w:rPr>
      </w:pPr>
      <w:bookmarkStart w:id="0" w:name="_GoBack"/>
      <w:r>
        <w:rPr>
          <w:rFonts w:hint="eastAsia"/>
          <w:sz w:val="44"/>
          <w:szCs w:val="44"/>
          <w:lang w:eastAsia="zh-CN"/>
        </w:rPr>
        <w:t>福田区政府非税收入管理办法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sz w:val="44"/>
          <w:szCs w:val="44"/>
        </w:rPr>
      </w:pPr>
      <w:r>
        <w:rPr>
          <w:rFonts w:hint="eastAsia" w:ascii="仿宋_GB2312" w:hAnsi="仿宋_GB2312" w:eastAsia="仿宋_GB2312" w:cs="仿宋_GB2312"/>
          <w:sz w:val="32"/>
          <w:szCs w:val="32"/>
          <w:lang w:val="en-US" w:eastAsia="zh-CN"/>
        </w:rPr>
        <w:t>（征求意见稿）</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仿宋_GB2312" w:hAnsi="仿宋_GB2312" w:eastAsia="仿宋_GB2312" w:cs="仿宋_GB2312"/>
          <w:sz w:val="32"/>
          <w:szCs w:val="32"/>
        </w:rPr>
      </w:pPr>
      <w:r>
        <w:rPr>
          <w:rFonts w:ascii="黑体" w:hAnsi="黑体" w:eastAsia="黑体" w:cs="黑体"/>
          <w:b w:val="0"/>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为加强我区政府非税收入（以下简称非税收入）管理，规范政府收支行为，根据《财政部关于印发＜政府非税收入管理办法＞的通知》（财税[2016]33号）等规定，结合我区实际，制定本办法。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非税收入征收、票据、资金和监督</w:t>
      </w:r>
      <w:r>
        <w:rPr>
          <w:rFonts w:hint="eastAsia" w:ascii="仿宋_GB2312" w:hAnsi="仿宋_GB2312" w:eastAsia="仿宋_GB2312" w:cs="仿宋_GB2312"/>
          <w:sz w:val="32"/>
          <w:szCs w:val="32"/>
          <w:lang w:eastAsia="zh-CN"/>
        </w:rPr>
        <w:t>管理等活动</w:t>
      </w:r>
      <w:r>
        <w:rPr>
          <w:rFonts w:hint="eastAsia" w:ascii="仿宋_GB2312" w:hAnsi="仿宋_GB2312" w:eastAsia="仿宋_GB2312" w:cs="仿宋_GB2312"/>
          <w:sz w:val="32"/>
          <w:szCs w:val="32"/>
        </w:rPr>
        <w:t>，适用</w:t>
      </w:r>
      <w:r>
        <w:rPr>
          <w:rFonts w:hint="eastAsia" w:ascii="仿宋_GB2312" w:hAnsi="仿宋_GB2312" w:eastAsia="仿宋_GB2312" w:cs="仿宋_GB2312"/>
          <w:sz w:val="32"/>
          <w:szCs w:val="32"/>
          <w:lang w:eastAsia="zh-CN"/>
        </w:rPr>
        <w:t>本办法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本办法</w:t>
      </w:r>
      <w:r>
        <w:rPr>
          <w:rFonts w:hint="eastAsia" w:ascii="仿宋_GB2312" w:hAnsi="仿宋_GB2312" w:eastAsia="仿宋_GB2312" w:cs="仿宋_GB2312"/>
          <w:sz w:val="32"/>
          <w:szCs w:val="32"/>
        </w:rPr>
        <w:t>所称非税收入，是指除税收以外，</w:t>
      </w:r>
      <w:r>
        <w:rPr>
          <w:rFonts w:hint="eastAsia" w:ascii="仿宋_GB2312" w:hAnsi="仿宋_GB2312" w:eastAsia="仿宋_GB2312" w:cs="仿宋_GB2312"/>
          <w:sz w:val="32"/>
          <w:szCs w:val="32"/>
          <w:lang w:eastAsia="zh-CN"/>
        </w:rPr>
        <w:t>由各级国家机关、事业单位、代行政府职能的社会团体及其他组织依法利用政府权力、政府信誉、国家资源（资产）所有者权益等取得的各项收入。具体包括：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（一）行政事业性收费收入；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（二）政府性基金收入；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（三）罚没收入；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（四）国有资源</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rPr>
        <w:t>有偿使用收入；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（五）国有资本收益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）彩票公益金收入；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）以政府名义接受的捐赠收入；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）主管部门集中收入；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政府收入的利息</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其他非税</w:t>
      </w:r>
      <w:r>
        <w:rPr>
          <w:rFonts w:hint="eastAsia" w:ascii="仿宋_GB2312" w:hAnsi="仿宋_GB2312" w:eastAsia="仿宋_GB2312" w:cs="仿宋_GB2312"/>
          <w:sz w:val="32"/>
          <w:szCs w:val="32"/>
        </w:rPr>
        <w:t>收入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本办法所称非税收入不包括政府债务收入、</w:t>
      </w:r>
      <w:r>
        <w:rPr>
          <w:rFonts w:hint="eastAsia" w:ascii="仿宋_GB2312" w:hAnsi="仿宋_GB2312" w:eastAsia="仿宋_GB2312" w:cs="仿宋_GB2312"/>
          <w:sz w:val="32"/>
          <w:szCs w:val="32"/>
        </w:rPr>
        <w:t>社会保险</w:t>
      </w:r>
      <w:r>
        <w:rPr>
          <w:rFonts w:hint="eastAsia" w:ascii="仿宋_GB2312" w:hAnsi="仿宋_GB2312" w:eastAsia="仿宋_GB2312" w:cs="仿宋_GB2312"/>
          <w:sz w:val="32"/>
          <w:szCs w:val="32"/>
          <w:lang w:eastAsia="zh-CN"/>
        </w:rPr>
        <w:t>基金</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eastAsia="zh-CN"/>
        </w:rPr>
        <w:t>（指计入缴存人个人账户部分）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val="en-US" w:eastAsia="zh-CN"/>
        </w:rPr>
        <w:t xml:space="preserve"> 非税收入是政府财政收入的重要组成部分，纳入财政预算管理。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财政部门</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非税收入的主管部门</w:t>
      </w:r>
      <w:r>
        <w:rPr>
          <w:rFonts w:hint="eastAsia" w:ascii="仿宋_GB2312" w:hAnsi="仿宋_GB2312" w:eastAsia="仿宋_GB2312" w:cs="仿宋_GB2312"/>
          <w:sz w:val="32"/>
          <w:szCs w:val="32"/>
          <w:lang w:eastAsia="zh-CN"/>
        </w:rPr>
        <w:t>，负责制定本行政区域非税收入管理制度和政策，征缴、管理和监督区级非税收入，完善非税收入管理工作机制，建立健全非税收入管理系统和统计报告制度。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rPr>
        <w:t xml:space="preserve"> 非税收入管理应当遵循依法、规范、透明、高效的原则。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区政府应当加强对非税收入管理工作的领导，严格实施有关非税收入管理的规定，同时推进非税收入管理信息化建设，提高非税收入管理效率和质量。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黑体" w:hAnsi="黑体" w:eastAsia="黑体" w:cs="黑体"/>
          <w:b w:val="0"/>
          <w:bCs/>
          <w:sz w:val="32"/>
          <w:szCs w:val="32"/>
        </w:rPr>
      </w:pPr>
      <w:r>
        <w:rPr>
          <w:rFonts w:ascii="黑体" w:hAnsi="黑体" w:eastAsia="黑体" w:cs="黑体"/>
          <w:b w:val="0"/>
          <w:bCs/>
          <w:sz w:val="32"/>
          <w:szCs w:val="32"/>
        </w:rPr>
        <w:t>第二章 征收管理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征收非税收入，应当依据法律、法规</w:t>
      </w:r>
      <w:r>
        <w:rPr>
          <w:rFonts w:hint="eastAsia" w:ascii="仿宋_GB2312" w:hAnsi="仿宋_GB2312" w:eastAsia="仿宋_GB2312" w:cs="仿宋_GB2312"/>
          <w:sz w:val="32"/>
          <w:szCs w:val="32"/>
          <w:lang w:eastAsia="zh-CN"/>
        </w:rPr>
        <w:t>、规章、国务院制定或批准制定的规范性文件进行征收</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（一）行政事业性收费按照国务院和省、自治区、直辖市（以下简称省级）人民政府及其财政、价格主管部门的规定征收。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（二）政府性基金按照国务院和财政部的规定征收。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罚没收入应当依据《中华人民共和国行政处罚法》和其他有关法律、法规、规章的规定征收。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）国有资源有偿使用收入</w:t>
      </w:r>
      <w:r>
        <w:rPr>
          <w:rFonts w:hint="eastAsia" w:ascii="仿宋_GB2312" w:hAnsi="仿宋_GB2312" w:eastAsia="仿宋_GB2312" w:cs="仿宋_GB2312"/>
          <w:sz w:val="32"/>
          <w:szCs w:val="32"/>
          <w:lang w:eastAsia="zh-CN"/>
        </w:rPr>
        <w:t>按照国务院和省级人民政府及其财政部门的规定设立和征收。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（五）国有资产有偿使用收入、国有资本收益由拥有国有资产（资本）产权的人民政府及其财政部门按照国有资产（资本）收益管理规定征收。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（六）彩票公益金按照国务院和财政部的规定筹集。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）主管部门集中收入、以政府名义接受的捐赠收入、政府收入的利息收入及其他非税收入按照同级人民政府及其财政部门的管理规定征收或者收取。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w:t>
      </w:r>
      <w:r>
        <w:rPr>
          <w:rFonts w:hint="eastAsia" w:ascii="仿宋_GB2312" w:hAnsi="仿宋_GB2312" w:eastAsia="仿宋_GB2312" w:cs="仿宋_GB2312"/>
          <w:sz w:val="32"/>
          <w:szCs w:val="32"/>
          <w:lang w:eastAsia="zh-CN"/>
        </w:rPr>
        <w:t>机关</w:t>
      </w:r>
      <w:r>
        <w:rPr>
          <w:rFonts w:hint="eastAsia" w:ascii="仿宋_GB2312" w:hAnsi="仿宋_GB2312" w:eastAsia="仿宋_GB2312" w:cs="仿宋_GB2312"/>
          <w:sz w:val="32"/>
          <w:szCs w:val="32"/>
        </w:rPr>
        <w:t>和单位不得违反规定设立非税收入项目或者设定非税收入的征收对象、范围、标准和期限。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未经财政部或省、市级财政部门批准，不得擅自将行政事业性收费转为经营服务性收费，不得将国家明令取消的行政事业性收费、政府性基金转为经营服务性收费收取。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法律、法规、规章和依法设定非税收入项目的文件规定了征收部门、执收单位的非税收入项目，应当由规定的执收单位征收；规定的执收单位依据法律、法规、规章的规定委托其他单位征收的，应当签订委托协议书并送同级财政部门备案。</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法规、规章和依法设定政府非税收入项目的文件没有规定执收单位的非税收入项目，由财政部门组织征收；不具备直接征收条件的，财政部门可以依法委托有关单位征收。未经财政部门批准，不得改变非税收入执收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委托其他单位征收非税收入的委托单位应当受托单位的征收行为实施监督，并承担该征收行为的法律责任；受托单位在委托范围内，以委托单位的名义征收非税收入，不得转委托。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执收单位是非税收入的征收管理主体，对非税收入征收管理的合法性、合规性、规范性和真实性负责。应当履行下列职责：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（一）公示非税收入征收依据和具体征收事项，包括项目、对象、范围、标准、期限和方式等；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（二）严格按照规定的非税收入项目、征收范围和征收标准进行征收，及时足额上缴非税收入，并对欠缴、少缴收入实施催缴；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对已开具非税收入通知书但未完成缴费的非税收入进行定期核查、及时收缴；对重复开具、误开缴款通知书等原因形成未收款项的，应将无效缴款通知书及时进行作废处理；缴款通知书如需进行作废处理，须依法依规和根据本单位（部门）业务管理相关规定，履行审批手续后方可办理，作废处理相关材料须及时存档备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对于出现交款人拒缴、故意拖欠等情况的，应及时采取发催缴通知书、走司法程序等追缴手段进行催收催缴；对于已通过司法程序，进行强制执行后无法执行到位的收费，或由于缴款人、缴款单位消亡、倒闭、外迁等原因造成收入无法进行追缴的，各执收单位应及时按照相关的法律、法规规定程序进行清理和结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五）记录、汇总、核对并按规定向财政部门报送非税收入征缴情况，做好本部门、本单位非税收入征收管理台账，每月按时报送本单位（部门）《福田区政府非税收入及财政专户管理收入征缴情况月报表》至财政部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建立本单位（部门）非税收入征收管理制度及内部操作规程；对于本单位（部门）开具的缴款通知书，整理形成相关业务台账，做到实时监控；根据《中华人民共和国行政诉讼法》、《中华人民共和国行政强制法》等法律法规，在法定有效期限内进行催收催缴；各罚没收入执收单位应按照《中华人民共和国行政处罚法》有关规定，加强罚没收入征收管理，维护法律法规严肃性和权威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（七）编报非税收入年度收入预算；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（八）执行非税收入管理的其他有关规定。</w:t>
      </w:r>
    </w:p>
    <w:p>
      <w:pPr>
        <w:keepNext w:val="0"/>
        <w:keepLines w:val="0"/>
        <w:widowControl w:val="0"/>
        <w:suppressLineNumbers w:val="0"/>
        <w:pBdr>
          <w:top w:val="none" w:color="auto" w:sz="0" w:space="0"/>
          <w:left w:val="none" w:color="auto" w:sz="0" w:space="0"/>
          <w:bottom w:val="none" w:color="auto" w:sz="0" w:space="0"/>
          <w:right w:val="none" w:color="auto" w:sz="0" w:space="0"/>
        </w:pBdr>
        <w:spacing w:line="560" w:lineRule="exact"/>
        <w:ind w:left="0" w:right="0" w:firstLine="643" w:firstLineChars="200"/>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执收单位不得违规多征、</w:t>
      </w:r>
      <w:r>
        <w:rPr>
          <w:rFonts w:hint="eastAsia" w:ascii="仿宋_GB2312" w:hAnsi="仿宋_GB2312" w:eastAsia="仿宋_GB2312" w:cs="仿宋_GB2312"/>
          <w:sz w:val="32"/>
          <w:szCs w:val="32"/>
          <w:highlight w:val="none"/>
        </w:rPr>
        <w:t>提前征收或者缓征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减征、免征、</w:t>
      </w:r>
      <w:r>
        <w:rPr>
          <w:rFonts w:hint="eastAsia" w:ascii="仿宋_GB2312" w:hAnsi="仿宋_GB2312" w:eastAsia="仿宋_GB2312" w:cs="仿宋_GB2312"/>
          <w:sz w:val="32"/>
          <w:szCs w:val="32"/>
          <w:highlight w:val="none"/>
          <w:lang w:eastAsia="zh-CN"/>
        </w:rPr>
        <w:t>停征</w:t>
      </w:r>
      <w:r>
        <w:rPr>
          <w:rFonts w:hint="eastAsia" w:ascii="仿宋_GB2312" w:hAnsi="仿宋_GB2312" w:eastAsia="仿宋_GB2312" w:cs="仿宋_GB2312"/>
          <w:sz w:val="32"/>
          <w:szCs w:val="32"/>
          <w:highlight w:val="none"/>
        </w:rPr>
        <w:t>非税收入。</w:t>
      </w:r>
    </w:p>
    <w:p>
      <w:pPr>
        <w:keepNext w:val="0"/>
        <w:keepLines w:val="0"/>
        <w:widowControl w:val="0"/>
        <w:suppressLineNumbers w:val="0"/>
        <w:pBdr>
          <w:top w:val="none" w:color="auto" w:sz="0" w:space="0"/>
          <w:left w:val="none" w:color="auto" w:sz="0" w:space="0"/>
          <w:bottom w:val="none" w:color="auto" w:sz="0" w:space="0"/>
          <w:right w:val="none" w:color="auto" w:sz="0" w:space="0"/>
        </w:pBdr>
        <w:spacing w:line="560" w:lineRule="exact"/>
        <w:ind w:left="0" w:right="0" w:firstLine="640" w:firstLineChars="200"/>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符合缓征、减征、免征政府非税收入的，按收入层级由财政部门会同相关部门依据法律、法规、规章、国务院和省、市人民政府有关规定办理。</w:t>
      </w:r>
    </w:p>
    <w:p>
      <w:pPr>
        <w:keepNext w:val="0"/>
        <w:keepLines w:val="0"/>
        <w:widowControl w:val="0"/>
        <w:suppressLineNumbers w:val="0"/>
        <w:pBdr>
          <w:top w:val="none" w:color="auto" w:sz="0" w:space="0"/>
          <w:left w:val="none" w:color="auto" w:sz="0" w:space="0"/>
          <w:bottom w:val="none" w:color="auto" w:sz="0" w:space="0"/>
          <w:right w:val="none" w:color="auto" w:sz="0" w:space="0"/>
        </w:pBdr>
        <w:spacing w:line="560" w:lineRule="exact"/>
        <w:ind w:left="0" w:right="0" w:firstLine="643"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各级财政部门应当加强非税收入执收管理和监督，不得向执收单位下达非税收入指标。</w:t>
      </w:r>
    </w:p>
    <w:p>
      <w:pPr>
        <w:keepNext w:val="0"/>
        <w:keepLines w:val="0"/>
        <w:widowControl w:val="0"/>
        <w:suppressLineNumbers w:val="0"/>
        <w:pBdr>
          <w:top w:val="none" w:color="auto" w:sz="0" w:space="0"/>
          <w:left w:val="none" w:color="auto" w:sz="0" w:space="0"/>
          <w:bottom w:val="none" w:color="auto" w:sz="0" w:space="0"/>
          <w:right w:val="none" w:color="auto" w:sz="0" w:space="0"/>
        </w:pBdr>
        <w:spacing w:line="560" w:lineRule="exact"/>
        <w:ind w:left="0" w:right="0" w:firstLine="643"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公民、法人或者其他组织（以下简称缴纳义务人）应当按规定履行非税收入缴纳义务。对违规设立非税收入项目、扩大征收范围、提高征收标准的，缴纳义务人有权拒绝缴纳并向有关部门举报。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缴纳义务人因特殊情况需要缓缴、减缴、免缴非税收入的，应当向执收单位提出书面申请，并由执收单位报有关部门按照规定审批。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val="en-US" w:eastAsia="zh-CN"/>
        </w:rPr>
        <w:t xml:space="preserve"> 非税收入实行“单位开票，银行代收，财政统管”的收缴分离制度。除依照法律、法规、规章规定或财政部门批准可以当场收取现款外，禁止非税收入执收单位或者受托单位收取现款。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非税收入收缴实行国库集中收缴制度。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非税收入应当全部上缴国库，任何部门、单位和个人不得</w:t>
      </w:r>
      <w:r>
        <w:rPr>
          <w:rFonts w:hint="eastAsia" w:ascii="仿宋_GB2312" w:hAnsi="仿宋_GB2312" w:eastAsia="仿宋_GB2312" w:cs="仿宋_GB2312"/>
          <w:sz w:val="32"/>
          <w:szCs w:val="32"/>
          <w:lang w:eastAsia="zh-CN"/>
        </w:rPr>
        <w:t>隐匿、转移、</w:t>
      </w:r>
      <w:r>
        <w:rPr>
          <w:rFonts w:hint="eastAsia" w:ascii="仿宋_GB2312" w:hAnsi="仿宋_GB2312" w:eastAsia="仿宋_GB2312" w:cs="仿宋_GB2312"/>
          <w:sz w:val="32"/>
          <w:szCs w:val="32"/>
        </w:rPr>
        <w:t>截留、占用、挪用、</w:t>
      </w:r>
      <w:r>
        <w:rPr>
          <w:rFonts w:hint="eastAsia" w:ascii="仿宋_GB2312" w:hAnsi="仿宋_GB2312" w:eastAsia="仿宋_GB2312" w:cs="仿宋_GB2312"/>
          <w:sz w:val="32"/>
          <w:szCs w:val="32"/>
          <w:lang w:eastAsia="zh-CN"/>
        </w:rPr>
        <w:t>坐支、拖欠、私分或者变相私分所收款项，或者将所收款项存入非税汇缴账户以外的账户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属于下列情形的非税收入，由缴款人或者执收单位提出申请，经执收单位审核后送同级财政部门依照规定程序办理退付：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（一）按规定确认为误缴，多缴的；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（二）依法收取的待结算收入，符合规定需要退付的；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（三）因政策调整需要退付的；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（四）其他需要退付的。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黑体" w:hAnsi="黑体" w:eastAsia="黑体" w:cs="黑体"/>
          <w:b w:val="0"/>
          <w:bCs/>
          <w:sz w:val="32"/>
          <w:szCs w:val="32"/>
        </w:rPr>
      </w:pPr>
      <w:r>
        <w:rPr>
          <w:rFonts w:ascii="黑体" w:hAnsi="黑体" w:eastAsia="黑体" w:cs="黑体"/>
          <w:b w:val="0"/>
          <w:bCs/>
          <w:sz w:val="32"/>
          <w:szCs w:val="32"/>
        </w:rPr>
        <w:t>第三章 票据管理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非税收入票据是征收非税收入的法定凭证和会计核算的原始凭证，是财政、审计等部门进行监督检查的重要依据。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非税收入票据种类包括非税收入通用票据、非税收入专用票据和非税收入一般缴款书。具体适用下列范围：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（一）非税收入通用票据，是指执收单位征收非税收入时开具的通用凭证。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（二）非税收入专用票据，是指特定执收单位征收特定的非税收入时开具的专用凭证，主要包括行政事业性收费票据、政府性基金票据、国有资源（资产）收入票据、罚没票据等。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（三）非税收入一般缴款书，是指实施非税收入收缴管理制度改革的执收单位收缴非税收入时开具的通用凭证。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财政部门应当通过加强非税收入票据管理，规范执收单位的征收行为，从源头上杜绝乱收费，并确保依法合规的非税收入及时足额上缴国库。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非税收入票据实行凭证领取、分次限量、核旧领新制度。执收单位使用非税收入票据，按照财务隶属关系向财政部门申领并由专人负责保管。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除财政部另有规定以外，执收单位征收非税收入，应当向缴纳义务人开具财政部或者省级财政部门统一监（印）制的非税收入票据。对附加在价格上征收或者需要依法纳税的有关非税收入，执收单位应当按规定向缴纳义务人开具税务发票。不开具前款规定票据的，缴纳义务人有权拒付款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非税收入票据使用单位不得转让、出借、代开、买卖、擅自销毁、涂改非税收入票据；不得串用非税收入票据，不得将非税收入票据与其他票据互相替代。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遗失非税收入票据的，应当及时报告本级非税收入票据机构，并公告作废。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非税收入票据使用完毕，使用单位应当按顺序清理票据存根、装订成册、妥善保管；非税收入票据存根保存期限一般为5年。保存期满需要销毁的，须报财政部门查验后方可销毁。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ascii="仿宋_GB2312" w:hAnsi="仿宋_GB2312" w:eastAsia="仿宋_GB2312" w:cs="仿宋_GB2312"/>
          <w:sz w:val="32"/>
          <w:szCs w:val="32"/>
        </w:rPr>
      </w:pPr>
      <w:r>
        <w:rPr>
          <w:rFonts w:ascii="黑体" w:hAnsi="黑体" w:eastAsia="黑体" w:cs="黑体"/>
          <w:b w:val="0"/>
          <w:bCs/>
          <w:sz w:val="32"/>
          <w:szCs w:val="32"/>
        </w:rPr>
        <w:t>第四章 资金管理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第二十七条</w:t>
      </w:r>
      <w:r>
        <w:rPr>
          <w:rFonts w:hint="eastAsia" w:ascii="仿宋_GB2312" w:hAnsi="仿宋_GB2312" w:eastAsia="仿宋_GB2312" w:cs="仿宋_GB2312"/>
          <w:sz w:val="32"/>
          <w:szCs w:val="32"/>
          <w:lang w:val="en-US" w:eastAsia="zh-CN"/>
        </w:rPr>
        <w:t xml:space="preserve"> 非税收入应当依照法律、法规规定或者按照管理权限确定的收入归属和缴库要求缴入国库，并通过国库单一账户体系收缴、存储、退付、清算和核算。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第二十八条</w:t>
      </w:r>
      <w:r>
        <w:rPr>
          <w:rFonts w:hint="eastAsia" w:ascii="仿宋_GB2312" w:hAnsi="仿宋_GB2312" w:eastAsia="仿宋_GB2312" w:cs="仿宋_GB2312"/>
          <w:sz w:val="32"/>
          <w:szCs w:val="32"/>
          <w:lang w:val="en-US" w:eastAsia="zh-CN"/>
        </w:rPr>
        <w:t xml:space="preserve"> 已上缴财政的非税收入依照有关规定需要退付的，按照财政部门规定执行。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第二十九条</w:t>
      </w:r>
      <w:r>
        <w:rPr>
          <w:rFonts w:hint="eastAsia" w:ascii="仿宋_GB2312" w:hAnsi="仿宋_GB2312" w:eastAsia="仿宋_GB2312" w:cs="仿宋_GB2312"/>
          <w:sz w:val="32"/>
          <w:szCs w:val="32"/>
          <w:lang w:val="en-US" w:eastAsia="zh-CN"/>
        </w:rPr>
        <w:t xml:space="preserve"> 根据非税收入不同性质，分别纳入一般公共预算、政府性基金预算和国有资本经营预算管理。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第三十条</w:t>
      </w:r>
      <w:r>
        <w:rPr>
          <w:rFonts w:hint="eastAsia" w:ascii="仿宋_GB2312" w:hAnsi="仿宋_GB2312" w:eastAsia="仿宋_GB2312" w:cs="仿宋_GB2312"/>
          <w:sz w:val="32"/>
          <w:szCs w:val="32"/>
          <w:lang w:val="en-US" w:eastAsia="zh-CN"/>
        </w:rPr>
        <w:t xml:space="preserve"> 财政部门应当按照有关规定加强政府性基金、国有资本收益与一般公共预算资金统筹使用，建立健全预算绩效评价制度，提高资金使用效率。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黑体" w:hAnsi="黑体" w:eastAsia="黑体" w:cs="黑体"/>
          <w:b w:val="0"/>
          <w:bCs/>
          <w:sz w:val="32"/>
          <w:szCs w:val="32"/>
        </w:rPr>
      </w:pPr>
      <w:r>
        <w:rPr>
          <w:rFonts w:ascii="黑体" w:hAnsi="黑体" w:eastAsia="黑体" w:cs="黑体"/>
          <w:b w:val="0"/>
          <w:bCs/>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第三十一条 </w:t>
      </w:r>
      <w:r>
        <w:rPr>
          <w:rFonts w:hint="eastAsia" w:ascii="仿宋_GB2312" w:hAnsi="仿宋_GB2312" w:eastAsia="仿宋_GB2312" w:cs="仿宋_GB2312"/>
          <w:sz w:val="32"/>
          <w:szCs w:val="32"/>
          <w:lang w:val="en-US" w:eastAsia="zh-CN"/>
        </w:rPr>
        <w:t>财政部门应当建立健全非税收入监督管理制度，加强非税收入政策执行情况的监督检查，依法处理非税收入违法违规行为。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第三十二条</w:t>
      </w:r>
      <w:r>
        <w:rPr>
          <w:rFonts w:hint="eastAsia" w:ascii="仿宋_GB2312" w:hAnsi="仿宋_GB2312" w:eastAsia="仿宋_GB2312" w:cs="仿宋_GB2312"/>
          <w:sz w:val="32"/>
          <w:szCs w:val="32"/>
          <w:lang w:val="en-US" w:eastAsia="zh-CN"/>
        </w:rPr>
        <w:t xml:space="preserve"> 执收单位应当建立健全内部控制制度，接受财政部门和审计机关的监督检查，如实提供非税收入情况和相关资料。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sz w:val="32"/>
          <w:szCs w:val="32"/>
          <w:lang w:val="en-US" w:eastAsia="zh-CN"/>
        </w:rPr>
        <w:t xml:space="preserve"> 财政部门和执收单位应当通过政府网站和公共媒体等渠道，向社会公开非税收入项目名称、设立依据、征收方式和标准等，并加大预决算公开力度，提高非税收入透明度，接受公众监督。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第三十四条</w:t>
      </w:r>
      <w:r>
        <w:rPr>
          <w:rFonts w:hint="eastAsia" w:ascii="仿宋_GB2312" w:hAnsi="仿宋_GB2312" w:eastAsia="仿宋_GB2312" w:cs="仿宋_GB2312"/>
          <w:sz w:val="32"/>
          <w:szCs w:val="32"/>
          <w:lang w:val="en-US" w:eastAsia="zh-CN"/>
        </w:rPr>
        <w:t xml:space="preserve"> 任何单位和个人有权监督和举报非税收入管理中的违法违规行为。财政部门应当按职责受理、调查、处理举报或者投诉，并为举报人保密。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第三十五条</w:t>
      </w:r>
      <w:r>
        <w:rPr>
          <w:rFonts w:hint="eastAsia" w:ascii="仿宋_GB2312" w:hAnsi="仿宋_GB2312" w:eastAsia="仿宋_GB2312" w:cs="仿宋_GB2312"/>
          <w:sz w:val="32"/>
          <w:szCs w:val="32"/>
          <w:lang w:val="en-US" w:eastAsia="zh-CN"/>
        </w:rPr>
        <w:t xml:space="preserve"> 对违反本制度规定设立、征收、缴纳、管理非税收入的行为，依照《中华人民共和国预算法》、《财政违法行为处罚处分条例》和《违反行政事业性收费和罚没收入收支两条线管理规定行政处分暂行规定》等国家有关规定追究法律责任；涉嫌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黑体" w:hAnsi="黑体" w:eastAsia="黑体" w:cs="黑体"/>
          <w:b w:val="0"/>
          <w:bCs/>
          <w:sz w:val="32"/>
          <w:szCs w:val="32"/>
        </w:rPr>
      </w:pPr>
      <w:r>
        <w:rPr>
          <w:rFonts w:ascii="黑体" w:hAnsi="黑体" w:eastAsia="黑体" w:cs="黑体"/>
          <w:b w:val="0"/>
          <w:bCs/>
          <w:sz w:val="32"/>
          <w:szCs w:val="32"/>
        </w:rPr>
        <w:t>第</w:t>
      </w:r>
      <w:r>
        <w:rPr>
          <w:rFonts w:hint="eastAsia" w:ascii="黑体" w:hAnsi="黑体" w:eastAsia="黑体" w:cs="黑体"/>
          <w:b w:val="0"/>
          <w:bCs/>
          <w:sz w:val="32"/>
          <w:szCs w:val="32"/>
          <w:lang w:eastAsia="zh-CN"/>
        </w:rPr>
        <w:t>六</w:t>
      </w:r>
      <w:r>
        <w:rPr>
          <w:rFonts w:ascii="黑体" w:hAnsi="黑体" w:eastAsia="黑体" w:cs="黑体"/>
          <w:b w:val="0"/>
          <w:bCs/>
          <w:sz w:val="32"/>
          <w:szCs w:val="32"/>
        </w:rPr>
        <w:t>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第三十六条</w:t>
      </w:r>
      <w:r>
        <w:rPr>
          <w:rFonts w:hint="eastAsia" w:ascii="仿宋_GB2312" w:hAnsi="仿宋_GB2312" w:eastAsia="仿宋_GB2312" w:cs="仿宋_GB2312"/>
          <w:sz w:val="32"/>
          <w:szCs w:val="32"/>
          <w:lang w:val="en-US" w:eastAsia="zh-CN"/>
        </w:rPr>
        <w:t xml:space="preserve"> 教育收费管理参照本制度规定执行，收入纳入财政专户管理。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第三十七条</w:t>
      </w:r>
      <w:r>
        <w:rPr>
          <w:rFonts w:hint="eastAsia" w:ascii="仿宋_GB2312" w:hAnsi="仿宋_GB2312" w:eastAsia="仿宋_GB2312" w:cs="仿宋_GB2312"/>
          <w:sz w:val="32"/>
          <w:szCs w:val="32"/>
          <w:lang w:val="en-US" w:eastAsia="zh-CN"/>
        </w:rPr>
        <w:t xml:space="preserve"> 本制度由财政部门负责解释，未尽事宜按照上级有关管理规定执行。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第三十八条</w:t>
      </w:r>
      <w:r>
        <w:rPr>
          <w:rFonts w:hint="eastAsia" w:ascii="仿宋_GB2312" w:hAnsi="仿宋_GB2312" w:eastAsia="仿宋_GB2312" w:cs="仿宋_GB2312"/>
          <w:sz w:val="32"/>
          <w:szCs w:val="32"/>
          <w:lang w:val="en-US" w:eastAsia="zh-CN"/>
        </w:rPr>
        <w:t xml:space="preserve"> 本制度自印发之日起施行。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AA73DD"/>
    <w:rsid w:val="2BAA7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2019-08-30T08:19:00Z</dcterms:created>
  <dc:creator>阿肥一级棒</dc:creator>
  <cp:lastModifiedBy>阿肥一级棒</cp:lastModifiedBy>
  <dcterms:modified xsi:type="dcterms:W3CDTF">2019-08-30T08:20:56Z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