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left"/>
        <w:rPr>
          <w:rFonts w:hint="eastAsia" w:ascii="黑体" w:hAnsi="黑体" w:eastAsia="黑体" w:cs="黑体"/>
          <w:i w:val="0"/>
          <w:color w:val="333333"/>
          <w:sz w:val="32"/>
          <w:szCs w:val="32"/>
          <w:lang w:val="en-US" w:eastAsia="zh-CN"/>
        </w:rPr>
      </w:pPr>
      <w:r>
        <w:rPr>
          <w:rFonts w:hint="eastAsia" w:ascii="黑体" w:hAnsi="黑体" w:eastAsia="黑体" w:cs="黑体"/>
          <w:i w:val="0"/>
          <w:color w:val="333333"/>
          <w:sz w:val="32"/>
          <w:szCs w:val="32"/>
          <w:lang w:val="en-US" w:eastAsia="zh-CN"/>
        </w:rPr>
        <w:t>附件2</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color w:val="000000"/>
          <w:sz w:val="44"/>
          <w:szCs w:val="44"/>
          <w:lang w:val="en-US"/>
        </w:rPr>
      </w:pPr>
      <w:bookmarkStart w:id="0" w:name="_GoBack"/>
      <w:r>
        <w:rPr>
          <w:rFonts w:hint="eastAsia" w:ascii="方正小标宋_GBK" w:hAnsi="方正小标宋_GBK" w:eastAsia="方正小标宋_GBK" w:cs="方正小标宋_GBK"/>
          <w:color w:val="000000"/>
          <w:kern w:val="2"/>
          <w:sz w:val="44"/>
          <w:szCs w:val="44"/>
          <w:lang w:val="en-US" w:eastAsia="zh-CN" w:bidi="ar"/>
        </w:rPr>
        <w:t>深圳市福田区园岭街道办事处小型建设</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方正小标宋_GBK" w:hAnsi="方正小标宋_GBK" w:eastAsia="方正小标宋_GBK" w:cs="方正小标宋_GBK"/>
          <w:color w:val="000000"/>
          <w:sz w:val="32"/>
          <w:szCs w:val="32"/>
          <w:lang w:val="en-US"/>
        </w:rPr>
      </w:pPr>
      <w:r>
        <w:rPr>
          <w:rFonts w:hint="eastAsia" w:ascii="方正小标宋_GBK" w:hAnsi="方正小标宋_GBK" w:eastAsia="方正小标宋_GBK" w:cs="方正小标宋_GBK"/>
          <w:color w:val="000000"/>
          <w:kern w:val="2"/>
          <w:sz w:val="44"/>
          <w:szCs w:val="44"/>
          <w:lang w:val="en-US" w:eastAsia="zh-CN" w:bidi="ar"/>
        </w:rPr>
        <w:t>工程预选供应商库管理暂行办法</w:t>
      </w:r>
    </w:p>
    <w:bookmarkEnd w:id="0"/>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第一章 总则</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b/>
          <w:color w:val="000000"/>
          <w:kern w:val="2"/>
          <w:sz w:val="32"/>
          <w:szCs w:val="32"/>
          <w:lang w:val="en-US" w:eastAsia="zh-CN" w:bidi="ar"/>
        </w:rPr>
        <w:t>第一条</w:t>
      </w:r>
      <w:r>
        <w:rPr>
          <w:rFonts w:hint="eastAsia" w:ascii="楷体_GB2312" w:hAnsi="楷体_GB2312" w:eastAsia="楷体_GB2312" w:cs="楷体_GB2312"/>
          <w:color w:val="000000"/>
          <w:kern w:val="2"/>
          <w:sz w:val="32"/>
          <w:szCs w:val="32"/>
          <w:lang w:val="en-US" w:eastAsia="zh-CN" w:bidi="ar"/>
        </w:rPr>
        <w:t xml:space="preserve"> </w:t>
      </w:r>
      <w:r>
        <w:rPr>
          <w:rFonts w:hint="eastAsia" w:ascii="仿宋_GB2312" w:hAnsi="仿宋_GB2312" w:eastAsia="仿宋_GB2312" w:cs="仿宋_GB2312"/>
          <w:color w:val="000000"/>
          <w:kern w:val="2"/>
          <w:sz w:val="32"/>
          <w:szCs w:val="32"/>
          <w:lang w:val="en-US" w:eastAsia="zh-CN" w:bidi="ar"/>
        </w:rPr>
        <w:t>为进一步规范深圳市福田区园岭街道办事处小型建设工程项目采购行为，提高政府采购工作效率，降低采购成本，加强政府采购的履约监督，强化供应商的服务意识，</w:t>
      </w:r>
      <w:r>
        <w:rPr>
          <w:rFonts w:hint="eastAsia" w:ascii="仿宋_GB2312" w:hAnsi="仿宋_GB2312" w:eastAsia="仿宋_GB2312" w:cs="仿宋_GB2312"/>
          <w:kern w:val="2"/>
          <w:sz w:val="32"/>
          <w:szCs w:val="32"/>
          <w:lang w:val="en-US" w:eastAsia="zh-CN" w:bidi="ar"/>
        </w:rPr>
        <w:t>根据《关于启用新一轮福田区小型建设工程协议供应商的通知》等相关文件精神，结合街道实际，制定本办法。</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第二条</w:t>
      </w:r>
      <w:r>
        <w:rPr>
          <w:rFonts w:hint="eastAsia" w:ascii="仿宋_GB2312" w:hAnsi="仿宋_GB2312" w:eastAsia="仿宋_GB2312" w:cs="仿宋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深圳市福田区园岭街道办事小型建设工程预选供应商库（简称“预选库”），是指通过公开招标方式，对投标人的资质能力、专业力量、业绩成果等情况进行综合考核，从中优选出一批能够承担街道小型建设工程项目的预选供应商。本办法适用于金额为5万元（含）以上，集中采购限额标准以下的小型建设工程项目。</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预选库设三个类型库，共20家。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（一）市政公用工程类10家。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（二）装修装饰工程类5家。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（二）消防设施工程类5家。</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预选库的有效期为2年。合同一年一签，经街道采购办公室考核合格后可续签下一年度合同。</w:t>
      </w:r>
    </w:p>
    <w:p>
      <w:pPr>
        <w:keepNext w:val="0"/>
        <w:keepLines w:val="0"/>
        <w:widowControl w:val="0"/>
        <w:suppressLineNumbers w:val="0"/>
        <w:wordWrap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预选库的建立、使用和管理遵循“公开择优、综合评价、动态管理”的原则。</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预选库的入库</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预选库的建立采用预选公开招标的方式，实行自愿申请、公开报名、专家评审、择优选用的入选原则。</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第七条 </w:t>
      </w:r>
      <w:r>
        <w:rPr>
          <w:rFonts w:hint="eastAsia" w:ascii="仿宋_GB2312" w:hAnsi="仿宋_GB2312" w:eastAsia="仿宋_GB2312" w:cs="仿宋_GB2312"/>
          <w:kern w:val="2"/>
          <w:sz w:val="32"/>
          <w:szCs w:val="32"/>
          <w:lang w:val="en-US" w:eastAsia="zh-CN" w:bidi="ar"/>
        </w:rPr>
        <w:t>申请入选预选库的单位，须符合下列条件：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（一）投标人必须具有独立法人资格（提供相关证明扫描件）；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（二）投标人具有建设主管部门颁发的有效《安全生产许可证》；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（三）投标人具有建筑装修装饰工程专业承包资质或市政公用工程施工总承包资质或消防设施工程专业承包资质；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（四）不接受联合体投标，中标单位严禁分包及转包。</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预选供应商在申请入库近三年内，有下列情形之一的，不予申请入库：</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弄虚作假、隐瞒真实情况骗取入围供应商资格的；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因行贿、受贿、串通投标、转包、挂靠受到有关政府部门处罚的；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中标后无正当理由不与采购单位签订合同的；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擅自变更或者中止采购合同的；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对存在重大工程安全、质量隐患的工程，经责令整改或停工，拒不改正继续施工的；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拒绝有关部门检查或者不如实反映情况、提供材料的；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不按采购文件、投标文件或谈判约定以及采购合同要求全面真实履约，履约情况评价不合格的；</w:t>
      </w:r>
    </w:p>
    <w:p>
      <w:pPr>
        <w:keepNext w:val="0"/>
        <w:keepLines w:val="0"/>
        <w:widowControl w:val="0"/>
        <w:numPr>
          <w:ilvl w:val="0"/>
          <w:numId w:val="1"/>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因其公司资质降低达不到预选供应商资质条件的；</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b/>
          <w:sz w:val="32"/>
          <w:szCs w:val="32"/>
          <w:lang w:val="en-US"/>
        </w:rPr>
      </w:pPr>
      <w:r>
        <w:rPr>
          <w:rFonts w:hint="eastAsia" w:ascii="仿宋_GB2312" w:hAnsi="仿宋_GB2312" w:eastAsia="仿宋_GB2312" w:cs="仿宋_GB2312"/>
          <w:kern w:val="2"/>
          <w:sz w:val="32"/>
          <w:szCs w:val="32"/>
          <w:lang w:val="en-US" w:eastAsia="zh-CN" w:bidi="ar"/>
        </w:rPr>
        <w:t>（九）其它造成严重后果或恶劣影响的行为；</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第九条</w:t>
      </w:r>
      <w:r>
        <w:rPr>
          <w:rFonts w:hint="eastAsia" w:ascii="楷体_GB2312" w:hAnsi="楷体_GB2312" w:eastAsia="楷体_GB2312" w:cs="楷体_GB2312"/>
          <w:b/>
          <w:color w:val="000000"/>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预选库入选工作按照下列程序进行：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（一）公告。</w:t>
      </w:r>
      <w:r>
        <w:rPr>
          <w:rFonts w:hint="eastAsia" w:ascii="仿宋_GB2312" w:hAnsi="仿宋_GB2312" w:eastAsia="仿宋_GB2312" w:cs="仿宋_GB2312"/>
          <w:kern w:val="2"/>
          <w:sz w:val="32"/>
          <w:szCs w:val="32"/>
          <w:lang w:val="en-US" w:eastAsia="zh-CN" w:bidi="ar"/>
        </w:rPr>
        <w:t>街道在相关门户网站发布受理入库申请的公告，公布申请条件、入选方法、类别、录取名额等有关信息，公告时间不得少于10日，报名时间不少于5个工作日。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（二）报名。</w:t>
      </w:r>
      <w:r>
        <w:rPr>
          <w:rFonts w:hint="eastAsia" w:ascii="仿宋_GB2312" w:hAnsi="仿宋_GB2312" w:eastAsia="仿宋_GB2312" w:cs="仿宋_GB2312"/>
          <w:kern w:val="2"/>
          <w:sz w:val="32"/>
          <w:szCs w:val="32"/>
          <w:lang w:val="en-US" w:eastAsia="zh-CN" w:bidi="ar"/>
        </w:rPr>
        <w:t>申请入库的单位按照公告要求在规定时间内报送书面申请、提交相关材料。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（三）开标评标。</w:t>
      </w:r>
      <w:r>
        <w:rPr>
          <w:rFonts w:hint="eastAsia" w:ascii="仿宋_GB2312" w:hAnsi="仿宋_GB2312" w:eastAsia="仿宋_GB2312" w:cs="仿宋_GB2312"/>
          <w:kern w:val="2"/>
          <w:sz w:val="32"/>
          <w:szCs w:val="32"/>
          <w:lang w:val="en-US" w:eastAsia="zh-CN" w:bidi="ar"/>
        </w:rPr>
        <w:t>对申请入库单位提交的资料进行评审，审核不通过的，取消其申请入库资格。</w:t>
      </w:r>
    </w:p>
    <w:p>
      <w:pPr>
        <w:keepNext w:val="0"/>
        <w:keepLines w:val="0"/>
        <w:widowControl w:val="0"/>
        <w:suppressLineNumbers w:val="0"/>
        <w:wordWrap w:val="0"/>
        <w:autoSpaceDE w:val="0"/>
        <w:autoSpaceDN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（四）中标公示。</w:t>
      </w:r>
      <w:r>
        <w:rPr>
          <w:rFonts w:hint="eastAsia" w:ascii="仿宋_GB2312" w:hAnsi="仿宋_GB2312" w:eastAsia="仿宋_GB2312" w:cs="仿宋_GB2312"/>
          <w:kern w:val="2"/>
          <w:sz w:val="32"/>
          <w:szCs w:val="32"/>
          <w:lang w:val="en-US" w:eastAsia="zh-CN" w:bidi="ar"/>
        </w:rPr>
        <w:t>最终评定入库的20家单位在街道门户网站公示，公示期3天</w:t>
      </w:r>
      <w:r>
        <w:rPr>
          <w:rFonts w:hint="eastAsia" w:ascii="仿宋_GB2312" w:hAnsi="仿宋" w:eastAsia="仿宋_GB2312" w:cs="仿宋_GB2312"/>
          <w:kern w:val="2"/>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楷体_GB2312" w:hAnsi="楷体_GB2312" w:eastAsia="楷体_GB2312" w:cs="楷体_GB2312"/>
          <w:kern w:val="2"/>
          <w:sz w:val="32"/>
          <w:szCs w:val="32"/>
          <w:lang w:val="en-US" w:eastAsia="zh-CN" w:bidi="ar"/>
        </w:rPr>
        <w:t>（五）中标通知书。</w:t>
      </w:r>
      <w:r>
        <w:rPr>
          <w:rFonts w:hint="eastAsia" w:ascii="仿宋_GB2312" w:hAnsi="仿宋_GB2312" w:eastAsia="仿宋_GB2312" w:cs="仿宋_GB2312"/>
          <w:kern w:val="2"/>
          <w:sz w:val="32"/>
          <w:szCs w:val="32"/>
          <w:lang w:val="en-US" w:eastAsia="zh-CN" w:bidi="ar"/>
        </w:rPr>
        <w:t>中标结果公示无异议，向入库单位发放《中标通知书》。</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预选库的使用</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第十条</w:t>
      </w:r>
      <w:r>
        <w:rPr>
          <w:rFonts w:hint="eastAsia" w:ascii="仿宋" w:hAnsi="仿宋" w:eastAsia="仿宋" w:cs="仿宋"/>
          <w:kern w:val="2"/>
          <w:sz w:val="32"/>
          <w:szCs w:val="32"/>
          <w:lang w:val="en-US" w:eastAsia="zh-CN" w:bidi="ar"/>
        </w:rPr>
        <w:t xml:space="preserve"> 街道各</w:t>
      </w:r>
      <w:r>
        <w:rPr>
          <w:rFonts w:hint="eastAsia" w:ascii="仿宋_GB2312" w:hAnsi="仿宋_GB2312" w:eastAsia="仿宋_GB2312" w:cs="仿宋_GB2312"/>
          <w:kern w:val="2"/>
          <w:sz w:val="32"/>
          <w:szCs w:val="32"/>
          <w:lang w:val="en-US" w:eastAsia="zh-CN" w:bidi="ar"/>
        </w:rPr>
        <w:t>采购部门原则上按照以下规则选择确定预选供应商。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（一）预算金额在5万元以下的工程项目，采购部门可自行决定是否在预选库中选择供应商，选择结果报街道办事处主任审批或主任会议审议后执行。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（二）预算金额在5万元以上的工程项目，施工发包采取从预选库中抽签的方式选择供应商，选择结果报街道办事处主任会议或街道党工委会议审议后执行。</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根据工程项目类别，从相应类组的预选库中抽签选定供应商签订承包合同承接任务。发包流程如下：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（一）由采购部门向预选供应商发出邀请，预选供应商应配合街道开展相关发包活动；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（二）被邀参与抽签发包活动的预选供应商应按发包要求提供相关资料文件供审核合格后方可参与发包抽签；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（三）项目发包采取抽签方式确定；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（四）供应商获得项目承包权后，应在10个工作日内完成采购合同签订。</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发包有关事项要求：</w:t>
      </w:r>
    </w:p>
    <w:p>
      <w:pPr>
        <w:keepNext w:val="0"/>
        <w:keepLines w:val="0"/>
        <w:widowControl w:val="0"/>
        <w:suppressLineNumbers w:val="0"/>
        <w:spacing w:before="0" w:beforeAutospacing="0" w:after="0" w:afterAutospacing="0" w:line="560" w:lineRule="exact"/>
        <w:ind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（一）为保证施工质量，实行“一中一停”的采购方式，预选供应商在抽中一个项目后，轮空一次后方可继续参与抽签。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（二）同一项目的设计单位不参与施工项目的抽签分配。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（三）若按期参加抽签发包活动的预选供应商不足3家时，街道有权暂停该次发包活动。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对预选供应商参加项目发包会议的出席率考核要求：不强制各预选供应商出席每次项目发包会议，但对出席率实行考核管理，在服务期限内，不按时参加项目发包会议的，取消当次抽签资格；无特殊原因，每累计缺席2次发包会议，暂停1次发包抽签资格；累计3次暂停记录的，给予清出预选供应商库的处理</w:t>
      </w:r>
      <w:r>
        <w:rPr>
          <w:rFonts w:hint="eastAsia" w:ascii="仿宋_GB2312" w:hAnsi="仿宋" w:eastAsia="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预选库监督管理</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b/>
          <w:color w:val="000000"/>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街道采购办公室负责预选库的日常监督管理。</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建立履约评价和动态管理机制。</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第十五条</w:t>
      </w:r>
      <w:r>
        <w:rPr>
          <w:rFonts w:hint="eastAsia" w:ascii="仿宋_GB2312" w:hAnsi="仿宋_GB2312" w:eastAsia="仿宋_GB2312" w:cs="仿宋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每项工程完成后，采购部门应对供应商开展履约评价，并将履约评价报告交街道采购办公室进行审查及备案。履约评价报告内容应客观公正，包括服务内容、人员配备、服务质量、服务周期、服务收费、服务态度和诚信情况等。</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街道采购办公室收到履约评价报告后应及时审查并公示履约评价合格或不合格的情况，实时公示不良行为记录和黑名单。</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第十七条 </w:t>
      </w:r>
      <w:r>
        <w:rPr>
          <w:rFonts w:hint="eastAsia" w:ascii="仿宋_GB2312" w:hAnsi="仿宋_GB2312" w:eastAsia="仿宋_GB2312" w:cs="仿宋_GB2312"/>
          <w:kern w:val="2"/>
          <w:sz w:val="32"/>
          <w:szCs w:val="32"/>
          <w:lang w:val="en-US" w:eastAsia="zh-CN" w:bidi="ar"/>
        </w:rPr>
        <w:t>采购部门对其做出的履约评价有一次不合格的，街道暂停其承接项目资格6个月。</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预选供应商有以下情形之一的，街道将其清出预选库并列入黑名单：</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（一）以欺骗、贿赂等不正当手段入选预选库的。</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（二）累计3次暂停记录的。</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（三）在开展工作过程中，存在严重工作过失，造成重大损失或不利影响，造成重大质量安全事故或重大环境事故的。</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（四）将承接项目转包或者违法分包的。</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（五）签订合同后因自身原因不履行或拒绝履行合约的。</w:t>
      </w:r>
    </w:p>
    <w:p>
      <w:pPr>
        <w:keepNext w:val="0"/>
        <w:keepLines w:val="0"/>
        <w:widowControl w:val="0"/>
        <w:numPr>
          <w:ilvl w:val="0"/>
          <w:numId w:val="0"/>
        </w:numPr>
        <w:suppressLineNumbers w:val="0"/>
        <w:spacing w:before="0" w:beforeAutospacing="0" w:after="0" w:afterAutospacing="0" w:line="560" w:lineRule="exact"/>
        <w:ind w:right="0" w:rightChars="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（六）违反法律、行政法规和国家强制性规定的。</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第十九条</w:t>
      </w:r>
      <w:r>
        <w:rPr>
          <w:rFonts w:hint="eastAsia" w:ascii="楷体_GB2312" w:hAnsi="楷体_GB2312" w:eastAsia="楷体_GB2312" w:cs="楷体_GB2312"/>
          <w:b/>
          <w:color w:val="000000"/>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预选供应商因自身原因主动退出预选库的，须及时向街道采购办报备。</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预选供应商有以下情形造成单位资格发生变化的，应主动在10个工作日之内以书面形式向街道采购办报送相关材料。如发现未主动申报的，街道有权责令其限期整改：</w:t>
      </w:r>
    </w:p>
    <w:p>
      <w:pPr>
        <w:keepNext w:val="0"/>
        <w:keepLines w:val="0"/>
        <w:widowControl w:val="0"/>
        <w:numPr>
          <w:ilvl w:val="0"/>
          <w:numId w:val="2"/>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企业变更（合并、重组、分立、撤销、法人代表、单位名称、注册资本、企业资质）的。</w:t>
      </w:r>
    </w:p>
    <w:p>
      <w:pPr>
        <w:keepNext w:val="0"/>
        <w:keepLines w:val="0"/>
        <w:widowControl w:val="0"/>
        <w:numPr>
          <w:ilvl w:val="0"/>
          <w:numId w:val="2"/>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技术负责人和专业技术人员资格发生变动的。</w:t>
      </w:r>
    </w:p>
    <w:p>
      <w:pPr>
        <w:keepNext w:val="0"/>
        <w:keepLines w:val="0"/>
        <w:widowControl w:val="0"/>
        <w:numPr>
          <w:ilvl w:val="0"/>
          <w:numId w:val="2"/>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预选供应商及从业人员受到相关部门处罚的。</w:t>
      </w:r>
    </w:p>
    <w:p>
      <w:pPr>
        <w:keepNext w:val="0"/>
        <w:keepLines w:val="0"/>
        <w:widowControl w:val="0"/>
        <w:numPr>
          <w:ilvl w:val="0"/>
          <w:numId w:val="2"/>
        </w:numPr>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涉及诉讼或重大安全生产事故的。</w:t>
      </w:r>
    </w:p>
    <w:p>
      <w:pPr>
        <w:keepNext w:val="0"/>
        <w:keepLines w:val="0"/>
        <w:widowControl w:val="0"/>
        <w:suppressLineNumbers w:val="0"/>
        <w:wordWrap w:val="0"/>
        <w:spacing w:before="0" w:beforeAutospacing="0" w:after="0" w:afterAutospacing="0" w:line="560" w:lineRule="exact"/>
        <w:ind w:left="0" w:right="0" w:firstLine="643" w:firstLineChars="200"/>
        <w:jc w:val="both"/>
        <w:rPr>
          <w:rFonts w:hint="eastAsia" w:ascii="仿宋_GB2312" w:hAnsi="仿宋"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对履约评价有异议的，应在知道或应该知道履约报告公示之日起3个工作日内，向街道采购办公室书面提出实名申诉。申诉应有明确的请求和必要的证明材料，逾期将不予受理。街道采购办公室在收到申诉后应及时处理</w:t>
      </w:r>
      <w:r>
        <w:rPr>
          <w:rFonts w:hint="eastAsia" w:ascii="仿宋_GB2312" w:hAnsi="仿宋" w:eastAsia="仿宋_GB2312" w:cs="仿宋_GB2312"/>
          <w:kern w:val="2"/>
          <w:sz w:val="32"/>
          <w:szCs w:val="32"/>
          <w:lang w:val="en-US" w:eastAsia="zh-CN" w:bidi="ar"/>
        </w:rPr>
        <w:t>。</w:t>
      </w:r>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 w:eastAsia="仿宋_GB2312" w:cs="仿宋_GB2312"/>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法律责任</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第二十二条 </w:t>
      </w:r>
      <w:r>
        <w:rPr>
          <w:rFonts w:hint="eastAsia" w:ascii="仿宋_GB2312" w:hAnsi="仿宋_GB2312" w:eastAsia="仿宋_GB2312" w:cs="仿宋_GB2312"/>
          <w:kern w:val="2"/>
          <w:sz w:val="32"/>
          <w:szCs w:val="32"/>
          <w:lang w:val="en-US" w:eastAsia="zh-CN" w:bidi="ar"/>
        </w:rPr>
        <w:t>预选库供应商有以下情形之一的，应依法追责：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（一）不履行工程合同约定义务或履行义务不符合约定要求的，街道可终止合同的执行并要求预选供应商承担相应的赔偿责任；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（二）在合同履约过程中，如涉及违反法律、行政法规和国家强制性规定的，由有关部门依法处理，构成犯罪的，依法追究刑事责任；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（三）造成质量安全事故或环境事故的，由有关部门责令限期整改并依法处罚，构成犯罪的，依法追究刑事责任；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（四）给街道及第三方造成损失的，应承担相应的赔偿责任，相关主管部门视情节轻重依法予以处罚，构成犯罪的，依法追究刑事责任。</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采购过程中，任何部门和个人存在未履行职责、收受供应商贿赂、获取其他不正当利益等违法违规行为的，由有关部门依法处理。</w:t>
      </w:r>
    </w:p>
    <w:p>
      <w:pPr>
        <w:keepNext w:val="0"/>
        <w:keepLines w:val="0"/>
        <w:widowControl w:val="0"/>
        <w:suppressLineNumbers w:val="0"/>
        <w:spacing w:before="0" w:beforeAutospacing="0" w:after="0" w:afterAutospacing="0" w:line="560" w:lineRule="exact"/>
        <w:ind w:left="0" w:right="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附则</w:t>
      </w:r>
    </w:p>
    <w:p>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第二十四条 </w:t>
      </w:r>
      <w:r>
        <w:rPr>
          <w:rFonts w:hint="eastAsia" w:ascii="仿宋_GB2312" w:hAnsi="仿宋_GB2312" w:eastAsia="仿宋_GB2312" w:cs="仿宋_GB2312"/>
          <w:kern w:val="2"/>
          <w:sz w:val="32"/>
          <w:szCs w:val="32"/>
          <w:lang w:val="en-US" w:eastAsia="zh-CN" w:bidi="ar"/>
        </w:rPr>
        <w:t>本暂行办法所称“近三个年度”、“近三年”、“近三个月”，截止日期从发布公告之日倒算。</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第二十五条 </w:t>
      </w:r>
      <w:r>
        <w:rPr>
          <w:rFonts w:hint="eastAsia" w:ascii="仿宋_GB2312" w:hAnsi="仿宋_GB2312" w:eastAsia="仿宋_GB2312" w:cs="仿宋_GB2312"/>
          <w:kern w:val="2"/>
          <w:sz w:val="32"/>
          <w:szCs w:val="32"/>
          <w:lang w:val="en-US" w:eastAsia="zh-CN" w:bidi="ar"/>
        </w:rPr>
        <w:t>本暂行办法所称“以下”不含本数、“以上”含本数。</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第二十六条</w:t>
      </w:r>
      <w:r>
        <w:rPr>
          <w:rFonts w:hint="eastAsia" w:ascii="仿宋_GB2312" w:hAnsi="仿宋_GB2312" w:eastAsia="仿宋_GB2312" w:cs="仿宋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因工作需要，经街道党工委会议研究决定后可以对预选库的类别及数量进行扩充和调整。</w:t>
      </w:r>
    </w:p>
    <w:p>
      <w:pPr>
        <w:keepNext w:val="0"/>
        <w:keepLines w:val="0"/>
        <w:widowControl w:val="0"/>
        <w:suppressLineNumbers w:val="0"/>
        <w:spacing w:before="0" w:beforeAutospacing="0" w:after="0" w:afterAutospacing="0" w:line="56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 xml:space="preserve">第二十七条 </w:t>
      </w:r>
      <w:r>
        <w:rPr>
          <w:rFonts w:hint="eastAsia" w:ascii="仿宋_GB2312" w:hAnsi="仿宋_GB2312" w:eastAsia="仿宋_GB2312" w:cs="仿宋_GB2312"/>
          <w:kern w:val="2"/>
          <w:sz w:val="32"/>
          <w:szCs w:val="32"/>
          <w:lang w:val="en-US" w:eastAsia="zh-CN" w:bidi="ar"/>
        </w:rPr>
        <w:t>本暂行办法由福田区园岭街道办事处负责解释。</w:t>
      </w:r>
    </w:p>
    <w:p>
      <w:pPr>
        <w:keepNext w:val="0"/>
        <w:keepLines w:val="0"/>
        <w:widowControl w:val="0"/>
        <w:suppressLineNumbers w:val="0"/>
        <w:wordWrap w:val="0"/>
        <w:spacing w:before="0" w:beforeAutospacing="0" w:after="0" w:afterAutospacing="0" w:line="560" w:lineRule="exact"/>
        <w:ind w:left="0" w:right="0" w:firstLine="643" w:firstLineChars="200"/>
        <w:jc w:val="both"/>
        <w:rPr>
          <w:rFonts w:hint="eastAsia" w:ascii="仿宋_GB2312" w:hAnsi="仿宋" w:eastAsia="仿宋_GB2312" w:cs="仿宋_GB2312"/>
          <w:sz w:val="32"/>
          <w:szCs w:val="32"/>
          <w:lang w:val="en-US"/>
        </w:rPr>
      </w:pPr>
      <w:r>
        <w:rPr>
          <w:rFonts w:hint="eastAsia" w:ascii="仿宋_GB2312" w:hAnsi="仿宋_GB2312" w:eastAsia="仿宋_GB2312" w:cs="仿宋_GB2312"/>
          <w:b/>
          <w:color w:val="000000"/>
          <w:kern w:val="2"/>
          <w:sz w:val="32"/>
          <w:szCs w:val="32"/>
          <w:lang w:val="en-US" w:eastAsia="zh-CN" w:bidi="ar"/>
        </w:rPr>
        <w:t>第二十八条</w:t>
      </w:r>
      <w:r>
        <w:rPr>
          <w:rFonts w:hint="eastAsia" w:ascii="仿宋_GB2312" w:hAnsi="仿宋_GB2312" w:eastAsia="仿宋_GB2312" w:cs="仿宋_GB2312"/>
          <w:b/>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本暂行办法自发布之日起实施。</w:t>
      </w:r>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 w:eastAsia="仿宋_GB2312" w:cs="仿宋_GB2312"/>
          <w:kern w:val="2"/>
          <w:sz w:val="32"/>
          <w:szCs w:val="32"/>
          <w:lang w:val="en-US" w:eastAsia="zh-CN" w:bidi="ar"/>
        </w:rPr>
      </w:pPr>
    </w:p>
    <w:p>
      <w:pPr>
        <w:keepNext w:val="0"/>
        <w:keepLines w:val="0"/>
        <w:widowControl w:val="0"/>
        <w:suppressLineNumbers w:val="0"/>
        <w:wordWrap w:val="0"/>
        <w:spacing w:before="0" w:beforeAutospacing="0" w:after="0" w:afterAutospacing="0" w:line="560" w:lineRule="exact"/>
        <w:ind w:left="0" w:right="0" w:firstLine="640" w:firstLineChars="200"/>
        <w:jc w:val="both"/>
        <w:rPr>
          <w:rFonts w:hint="eastAsia" w:ascii="仿宋_GB2312" w:hAnsi="仿宋" w:eastAsia="仿宋_GB2312" w:cs="仿宋_GB2312"/>
          <w:kern w:val="2"/>
          <w:sz w:val="32"/>
          <w:szCs w:val="32"/>
          <w:lang w:val="en-US" w:eastAsia="zh-CN" w:bidi="ar"/>
        </w:rPr>
      </w:pPr>
      <w:r>
        <w:rPr>
          <w:rFonts w:hint="eastAsia" w:ascii="仿宋_GB2312" w:hAnsi="仿宋" w:eastAsia="仿宋_GB2312" w:cs="仿宋_GB2312"/>
          <w:kern w:val="2"/>
          <w:sz w:val="32"/>
          <w:szCs w:val="32"/>
          <w:lang w:val="en-US" w:eastAsia="zh-CN" w:bidi="ar"/>
        </w:rPr>
        <w:t>附件：1.供应商签到表</w:t>
      </w:r>
    </w:p>
    <w:p>
      <w:pPr>
        <w:keepNext w:val="0"/>
        <w:keepLines w:val="0"/>
        <w:widowControl w:val="0"/>
        <w:suppressLineNumbers w:val="0"/>
        <w:wordWrap w:val="0"/>
        <w:spacing w:before="0" w:beforeAutospacing="0" w:after="0" w:afterAutospacing="0" w:line="560" w:lineRule="exact"/>
        <w:ind w:left="0" w:right="0" w:firstLine="1600" w:firstLineChars="50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32"/>
          <w:szCs w:val="32"/>
          <w:lang w:val="en-US" w:eastAsia="zh-CN" w:bidi="ar"/>
        </w:rPr>
        <w:t>2.抽签记录表</w:t>
      </w: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both"/>
        <w:rPr>
          <w:rFonts w:hint="eastAsia" w:ascii="方正小标宋_GBK" w:hAnsi="方正小标宋_GBK" w:eastAsia="方正小标宋_GBK" w:cs="方正小标宋_GBK"/>
          <w:bCs/>
          <w:sz w:val="36"/>
          <w:szCs w:val="36"/>
          <w:lang w:val="en-US"/>
        </w:rPr>
      </w:pP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color w:val="000000"/>
          <w:spacing w:val="40"/>
          <w:kern w:val="0"/>
          <w:sz w:val="36"/>
          <w:szCs w:val="36"/>
          <w:lang w:val="en-US"/>
        </w:rPr>
      </w:pPr>
      <w:r>
        <w:rPr>
          <w:rFonts w:hint="eastAsia" w:ascii="方正小标宋_GBK" w:hAnsi="方正小标宋_GBK" w:eastAsia="方正小标宋_GBK" w:cs="方正小标宋_GBK"/>
          <w:bCs/>
          <w:kern w:val="2"/>
          <w:sz w:val="28"/>
          <w:szCs w:val="28"/>
          <w:lang w:val="en-US" w:eastAsia="zh-CN" w:bidi="ar"/>
        </w:rPr>
        <w:t>供应商签到表</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color w:val="000000"/>
          <w:kern w:val="0"/>
          <w:sz w:val="24"/>
          <w:szCs w:val="24"/>
          <w:lang w:val="en-US"/>
        </w:rPr>
      </w:pPr>
      <w:r>
        <w:rPr>
          <w:rFonts w:hint="eastAsia" w:ascii="仿宋_GB2312" w:hAnsi="Times New Roman" w:eastAsia="仿宋_GB2312" w:cs="仿宋_GB2312"/>
          <w:color w:val="000000"/>
          <w:kern w:val="0"/>
          <w:sz w:val="24"/>
          <w:szCs w:val="24"/>
          <w:lang w:val="en-US" w:eastAsia="zh-CN" w:bidi="ar"/>
        </w:rPr>
        <w:t>项目名称：                      签到</w:t>
      </w:r>
      <w:r>
        <w:rPr>
          <w:rFonts w:hint="eastAsia" w:ascii="仿宋_GB2312" w:hAnsi="Times New Roman" w:eastAsia="仿宋_GB2312" w:cs="仿宋_GB2312"/>
          <w:color w:val="000000"/>
          <w:kern w:val="2"/>
          <w:sz w:val="24"/>
          <w:szCs w:val="24"/>
          <w:lang w:val="en-US" w:eastAsia="zh-CN" w:bidi="ar"/>
        </w:rPr>
        <w:t>日期：</w:t>
      </w:r>
    </w:p>
    <w:tbl>
      <w:tblPr>
        <w:tblStyle w:val="4"/>
        <w:tblpPr w:leftFromText="180" w:rightFromText="180" w:vertAnchor="text" w:horzAnchor="page" w:tblpX="1119" w:tblpY="18"/>
        <w:tblOverlap w:val="never"/>
        <w:tblW w:w="10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4"/>
        <w:gridCol w:w="2535"/>
        <w:gridCol w:w="2693"/>
        <w:gridCol w:w="1843"/>
        <w:gridCol w:w="2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237"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序号</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签到单位</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单位代表姓名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联系方式</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签到时间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99"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0"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2</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0"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3</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30"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4</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31"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5</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24" w:hRule="atLeast"/>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r>
              <w:rPr>
                <w:rFonts w:hint="eastAsia" w:ascii="仿宋" w:hAnsi="仿宋" w:eastAsia="仿宋" w:cs="仿宋"/>
                <w:color w:val="000000"/>
                <w:kern w:val="2"/>
                <w:sz w:val="24"/>
                <w:szCs w:val="24"/>
                <w:lang w:val="en-US" w:eastAsia="zh-CN" w:bidi="ar"/>
              </w:rPr>
              <w:t>6</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sz w:val="24"/>
                <w:szCs w:val="24"/>
                <w:lang w:val="en-US"/>
              </w:rPr>
            </w:pPr>
          </w:p>
        </w:tc>
      </w:tr>
    </w:tbl>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wordWrap w:val="0"/>
        <w:spacing w:before="0" w:beforeAutospacing="0" w:after="0" w:afterAutospacing="0" w:line="560" w:lineRule="exact"/>
        <w:ind w:left="0" w:right="0"/>
        <w:jc w:val="both"/>
        <w:rPr>
          <w:rFonts w:hint="eastAsia" w:ascii="仿宋_GB2312" w:hAnsi="仿宋_GB2312" w:eastAsia="仿宋_GB2312" w:cs="仿宋_GB2312"/>
          <w:sz w:val="32"/>
          <w:szCs w:val="32"/>
          <w:lang w:val="en-US"/>
        </w:rPr>
      </w:pPr>
    </w:p>
    <w:p>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sz w:val="28"/>
          <w:szCs w:val="28"/>
          <w:lang w:val="en-US"/>
        </w:rPr>
      </w:pPr>
      <w:r>
        <w:rPr>
          <w:rFonts w:hint="eastAsia" w:ascii="方正小标宋_GBK" w:hAnsi="方正小标宋_GBK" w:eastAsia="方正小标宋_GBK" w:cs="方正小标宋_GBK"/>
          <w:kern w:val="2"/>
          <w:sz w:val="28"/>
          <w:szCs w:val="28"/>
          <w:lang w:val="en-US" w:eastAsia="zh-CN" w:bidi="ar"/>
        </w:rPr>
        <w:t>抽签记录表</w:t>
      </w:r>
    </w:p>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kern w:val="0"/>
          <w:sz w:val="24"/>
          <w:szCs w:val="24"/>
          <w:lang w:val="en-US"/>
        </w:rPr>
      </w:pPr>
      <w:r>
        <w:rPr>
          <w:rFonts w:hint="eastAsia" w:ascii="仿宋_GB2312" w:hAnsi="Times New Roman" w:eastAsia="仿宋_GB2312" w:cs="仿宋_GB2312"/>
          <w:color w:val="000000"/>
          <w:kern w:val="0"/>
          <w:sz w:val="24"/>
          <w:szCs w:val="24"/>
          <w:lang w:val="en-US" w:eastAsia="zh-CN" w:bidi="ar"/>
        </w:rPr>
        <w:t xml:space="preserve">项目名称： </w:t>
      </w:r>
    </w:p>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抽签地点：                        抽签时间：    年   月   日   点   分</w:t>
      </w:r>
    </w:p>
    <w:tbl>
      <w:tblPr>
        <w:tblStyle w:val="4"/>
        <w:tblpPr w:leftFromText="180" w:rightFromText="180" w:vertAnchor="text" w:horzAnchor="page" w:tblpX="1145" w:tblpY="606"/>
        <w:tblOverlap w:val="never"/>
        <w:tblW w:w="10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3617"/>
        <w:gridCol w:w="1267"/>
        <w:gridCol w:w="1183"/>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105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序号</w:t>
            </w:r>
          </w:p>
        </w:tc>
        <w:tc>
          <w:tcPr>
            <w:tcW w:w="361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承包（供应）商</w:t>
            </w:r>
          </w:p>
        </w:tc>
        <w:tc>
          <w:tcPr>
            <w:tcW w:w="126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首轮抽取号码</w:t>
            </w:r>
          </w:p>
        </w:tc>
        <w:tc>
          <w:tcPr>
            <w:tcW w:w="118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次轮抽取号码</w:t>
            </w:r>
          </w:p>
        </w:tc>
        <w:tc>
          <w:tcPr>
            <w:tcW w:w="3288"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法人委托代表姓名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1</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2</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3</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4</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5</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6</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7</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8</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9</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10</w:t>
            </w:r>
          </w:p>
        </w:tc>
        <w:tc>
          <w:tcPr>
            <w:tcW w:w="361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26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1183"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c>
          <w:tcPr>
            <w:tcW w:w="3288"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both"/>
              <w:rPr>
                <w:rFonts w:hint="eastAsia" w:ascii="仿宋_GB2312" w:eastAsia="仿宋_GB2312" w:cs="仿宋_GB2312"/>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0"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40" w:lineRule="exact"/>
              <w:ind w:left="0" w:right="0"/>
              <w:jc w:val="center"/>
              <w:rPr>
                <w:rFonts w:hint="eastAsia" w:ascii="仿宋_GB2312" w:eastAsia="仿宋_GB2312" w:cs="仿宋_GB2312"/>
                <w:color w:val="000000"/>
                <w:spacing w:val="29"/>
                <w:kern w:val="0"/>
                <w:sz w:val="24"/>
                <w:szCs w:val="24"/>
                <w:lang w:val="en-US"/>
              </w:rPr>
            </w:pPr>
            <w:r>
              <w:rPr>
                <w:rFonts w:hint="eastAsia" w:ascii="仿宋_GB2312" w:hAnsi="Times New Roman" w:eastAsia="仿宋_GB2312" w:cs="仿宋_GB2312"/>
                <w:color w:val="000000"/>
                <w:spacing w:val="29"/>
                <w:kern w:val="0"/>
                <w:sz w:val="24"/>
                <w:szCs w:val="24"/>
                <w:lang w:val="en-US" w:eastAsia="zh-CN" w:bidi="ar"/>
              </w:rPr>
              <w:t>抽签</w:t>
            </w:r>
          </w:p>
          <w:p>
            <w:pPr>
              <w:keepNext w:val="0"/>
              <w:keepLines w:val="0"/>
              <w:widowControl w:val="0"/>
              <w:suppressLineNumbers w:val="0"/>
              <w:spacing w:before="0" w:beforeAutospacing="0" w:after="0" w:afterAutospacing="0" w:line="340" w:lineRule="exact"/>
              <w:ind w:left="0" w:right="0"/>
              <w:jc w:val="center"/>
              <w:rPr>
                <w:rFonts w:hint="eastAsia" w:ascii="仿宋_GB2312" w:eastAsia="仿宋_GB2312" w:cs="仿宋_GB2312"/>
                <w:color w:val="000000"/>
                <w:spacing w:val="29"/>
                <w:kern w:val="0"/>
                <w:sz w:val="24"/>
                <w:szCs w:val="24"/>
                <w:lang w:val="en-US"/>
              </w:rPr>
            </w:pPr>
            <w:r>
              <w:rPr>
                <w:rFonts w:hint="eastAsia" w:ascii="仿宋_GB2312" w:hAnsi="Times New Roman" w:eastAsia="仿宋_GB2312" w:cs="仿宋_GB2312"/>
                <w:color w:val="000000"/>
                <w:spacing w:val="29"/>
                <w:kern w:val="0"/>
                <w:sz w:val="24"/>
                <w:szCs w:val="24"/>
                <w:lang w:val="en-US" w:eastAsia="zh-CN" w:bidi="ar"/>
              </w:rPr>
              <w:t>情况</w:t>
            </w:r>
          </w:p>
          <w:p>
            <w:pPr>
              <w:keepNext w:val="0"/>
              <w:keepLines w:val="0"/>
              <w:widowControl w:val="0"/>
              <w:suppressLineNumbers w:val="0"/>
              <w:spacing w:before="0" w:beforeAutospacing="0" w:after="0" w:afterAutospacing="0" w:line="34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spacing w:val="29"/>
                <w:kern w:val="0"/>
                <w:sz w:val="24"/>
                <w:szCs w:val="24"/>
                <w:lang w:val="en-US" w:eastAsia="zh-CN" w:bidi="ar"/>
              </w:rPr>
              <w:t>说明</w:t>
            </w:r>
          </w:p>
        </w:tc>
        <w:tc>
          <w:tcPr>
            <w:tcW w:w="935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kern w:val="2"/>
                <w:sz w:val="24"/>
                <w:szCs w:val="24"/>
                <w:lang w:val="en-US" w:eastAsia="zh-CN" w:bidi="ar"/>
              </w:rPr>
              <w:t>本次抽签的中标原则是最终抽得最大号码为中标供应商，若出现最大号码相同的，则由最大号码相同的供应商重新进行下一轮抽取，直到抽到最大号码为止。共有</w:t>
            </w:r>
            <w:r>
              <w:rPr>
                <w:rFonts w:hint="eastAsia" w:ascii="仿宋_GB2312" w:hAnsi="Times New Roman" w:eastAsia="仿宋_GB2312" w:cs="仿宋_GB2312"/>
                <w:color w:val="000000"/>
                <w:kern w:val="2"/>
                <w:sz w:val="24"/>
                <w:szCs w:val="24"/>
                <w:u w:val="single"/>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家单位参加本次抽签，其中                      单位抽得</w:t>
            </w:r>
            <w:r>
              <w:rPr>
                <w:rFonts w:hint="eastAsia" w:ascii="仿宋_GB2312" w:hAnsi="Times New Roman" w:eastAsia="仿宋_GB2312" w:cs="仿宋_GB2312"/>
                <w:color w:val="000000"/>
                <w:kern w:val="2"/>
                <w:sz w:val="24"/>
                <w:szCs w:val="24"/>
                <w:u w:val="single"/>
                <w:lang w:val="en-US" w:eastAsia="zh-CN" w:bidi="ar"/>
              </w:rPr>
              <w:t xml:space="preserve">   </w:t>
            </w:r>
            <w:r>
              <w:rPr>
                <w:rFonts w:hint="eastAsia" w:ascii="仿宋_GB2312" w:hAnsi="Times New Roman" w:eastAsia="仿宋_GB2312" w:cs="仿宋_GB2312"/>
                <w:color w:val="000000"/>
                <w:kern w:val="2"/>
                <w:sz w:val="24"/>
                <w:szCs w:val="24"/>
                <w:lang w:val="en-US" w:eastAsia="zh-CN" w:bidi="ar"/>
              </w:rPr>
              <w:t>号码为本次抽签的最</w:t>
            </w:r>
            <w:r>
              <w:rPr>
                <w:rFonts w:hint="eastAsia" w:ascii="仿宋_GB2312" w:hAnsi="Times New Roman" w:eastAsia="仿宋_GB2312" w:cs="仿宋_GB2312"/>
                <w:color w:val="000000"/>
                <w:kern w:val="2"/>
                <w:sz w:val="24"/>
                <w:szCs w:val="24"/>
                <w:u w:val="single"/>
                <w:lang w:val="en-US" w:eastAsia="zh-CN" w:bidi="ar"/>
              </w:rPr>
              <w:t>大</w:t>
            </w:r>
            <w:r>
              <w:rPr>
                <w:rFonts w:hint="eastAsia" w:ascii="仿宋_GB2312" w:hAnsi="Times New Roman" w:eastAsia="仿宋_GB2312" w:cs="仿宋_GB2312"/>
                <w:color w:val="000000"/>
                <w:kern w:val="2"/>
                <w:sz w:val="24"/>
                <w:szCs w:val="24"/>
                <w:lang w:val="en-US" w:eastAsia="zh-CN" w:bidi="ar"/>
              </w:rPr>
              <w:t>号，被确定为中标单位。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eastAsia" w:ascii="仿宋_GB2312" w:eastAsia="仿宋_GB2312" w:cs="仿宋_GB2312"/>
                <w:color w:val="000000"/>
                <w:sz w:val="24"/>
                <w:szCs w:val="24"/>
                <w:lang w:val="en-US"/>
              </w:rPr>
            </w:pPr>
            <w:r>
              <w:rPr>
                <w:rFonts w:hint="eastAsia" w:ascii="仿宋_GB2312" w:hAnsi="Times New Roman" w:eastAsia="仿宋_GB2312" w:cs="仿宋_GB2312"/>
                <w:color w:val="000000"/>
                <w:spacing w:val="29"/>
                <w:kern w:val="0"/>
                <w:sz w:val="24"/>
                <w:szCs w:val="24"/>
                <w:lang w:val="en-US" w:eastAsia="zh-CN" w:bidi="ar"/>
              </w:rPr>
              <w:t>采购小组人</w:t>
            </w:r>
            <w:r>
              <w:rPr>
                <w:rFonts w:hint="eastAsia" w:ascii="仿宋_GB2312" w:hAnsi="Times New Roman" w:eastAsia="仿宋_GB2312" w:cs="仿宋_GB2312"/>
                <w:color w:val="000000"/>
                <w:kern w:val="0"/>
                <w:sz w:val="24"/>
                <w:szCs w:val="24"/>
                <w:lang w:val="en-US" w:eastAsia="zh-CN" w:bidi="ar"/>
              </w:rPr>
              <w:t>员</w:t>
            </w:r>
          </w:p>
        </w:tc>
        <w:tc>
          <w:tcPr>
            <w:tcW w:w="9355"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eastAsia="仿宋_GB2312" w:cs="仿宋_GB2312"/>
                <w:color w:val="000000"/>
                <w:sz w:val="24"/>
                <w:szCs w:val="24"/>
                <w:lang w:val="en-US"/>
              </w:rPr>
            </w:pPr>
          </w:p>
        </w:tc>
      </w:tr>
    </w:tbl>
    <w:p>
      <w:pPr>
        <w:pStyle w:val="2"/>
        <w:keepNext w:val="0"/>
        <w:keepLines w:val="0"/>
        <w:widowControl/>
        <w:suppressLineNumbers w:val="0"/>
        <w:spacing w:before="0" w:beforeAutospacing="0" w:after="0" w:afterAutospacing="0" w:line="600" w:lineRule="atLeast"/>
        <w:ind w:left="0" w:right="0"/>
        <w:jc w:val="left"/>
        <w:rPr>
          <w:rFonts w:hint="eastAsia" w:ascii="仿宋" w:hAnsi="仿宋" w:eastAsia="仿宋" w:cs="仿宋"/>
          <w:i w:val="0"/>
          <w:color w:val="333333"/>
          <w:sz w:val="28"/>
          <w:szCs w:val="28"/>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41CF"/>
    <w:multiLevelType w:val="multilevel"/>
    <w:tmpl w:val="5CEB41CF"/>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CEB41E5"/>
    <w:multiLevelType w:val="multilevel"/>
    <w:tmpl w:val="5CEB41E5"/>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07F18"/>
    <w:rsid w:val="5D50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2019-05-28T06:50:00Z</dcterms:created>
  <dc:creator>Administrator</dc:creator>
  <cp:lastModifiedBy>Administrator</cp:lastModifiedBy>
  <dcterms:modified xsi:type="dcterms:W3CDTF">2019-05-28T06:53:27Z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