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color w:val="000000" w:themeColor="text1"/>
          <w:sz w:val="44"/>
          <w:szCs w:val="44"/>
          <w14:textFill>
            <w14:solidFill>
              <w14:schemeClr w14:val="tx1"/>
            </w14:solidFill>
          </w14:textFill>
        </w:rPr>
      </w:pPr>
      <w:bookmarkStart w:id="0" w:name="_Hlk536191629"/>
      <w:r>
        <w:rPr>
          <w:rFonts w:hint="eastAsia" w:ascii="方正小标宋简体" w:eastAsia="方正小标宋简体"/>
          <w:color w:val="000000" w:themeColor="text1"/>
          <w:sz w:val="44"/>
          <w:szCs w:val="44"/>
          <w14:textFill>
            <w14:solidFill>
              <w14:schemeClr w14:val="tx1"/>
            </w14:solidFill>
          </w14:textFill>
        </w:rPr>
        <w:t>福田区发展研究中心20</w:t>
      </w:r>
      <w:r>
        <w:rPr>
          <w:rFonts w:ascii="方正小标宋简体" w:eastAsia="方正小标宋简体"/>
          <w:color w:val="000000" w:themeColor="text1"/>
          <w:sz w:val="44"/>
          <w:szCs w:val="44"/>
          <w14:textFill>
            <w14:solidFill>
              <w14:schemeClr w14:val="tx1"/>
            </w14:solidFill>
          </w14:textFill>
        </w:rPr>
        <w:t>19</w:t>
      </w:r>
      <w:r>
        <w:rPr>
          <w:rFonts w:hint="eastAsia" w:ascii="方正小标宋简体" w:eastAsia="方正小标宋简体"/>
          <w:color w:val="000000" w:themeColor="text1"/>
          <w:sz w:val="44"/>
          <w:szCs w:val="44"/>
          <w14:textFill>
            <w14:solidFill>
              <w14:schemeClr w14:val="tx1"/>
            </w14:solidFill>
          </w14:textFill>
        </w:rPr>
        <w:t>年度招标课题</w:t>
      </w:r>
    </w:p>
    <w:p>
      <w:pPr>
        <w:adjustRightInd w:val="0"/>
        <w:snapToGrid w:val="0"/>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研究指引</w:t>
      </w:r>
    </w:p>
    <w:bookmarkEnd w:id="0"/>
    <w:p>
      <w:pPr>
        <w:pStyle w:val="9"/>
        <w:adjustRightInd w:val="0"/>
        <w:snapToGrid w:val="0"/>
        <w:spacing w:line="560" w:lineRule="exact"/>
        <w:ind w:firstLine="0" w:firstLineChars="0"/>
        <w:rPr>
          <w:rFonts w:ascii="仿宋_GB2312" w:eastAsia="仿宋_GB2312"/>
          <w:color w:val="000000" w:themeColor="text1"/>
          <w:sz w:val="32"/>
          <w:szCs w:val="32"/>
          <w14:textFill>
            <w14:solidFill>
              <w14:schemeClr w14:val="tx1"/>
            </w14:solidFill>
          </w14:textFill>
        </w:rPr>
      </w:pPr>
      <w:bookmarkStart w:id="1" w:name="_Hlk536192051"/>
    </w:p>
    <w:p>
      <w:pPr>
        <w:pStyle w:val="9"/>
        <w:adjustRightInd w:val="0"/>
        <w:snapToGrid w:val="0"/>
        <w:spacing w:line="560" w:lineRule="exact"/>
        <w:ind w:firstLine="640"/>
        <w:rPr>
          <w:rFonts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一、有关课题招标的说明</w:t>
      </w:r>
    </w:p>
    <w:p>
      <w:pPr>
        <w:pStyle w:val="9"/>
        <w:adjustRightInd w:val="0"/>
        <w:snapToGrid w:val="0"/>
        <w:spacing w:line="560" w:lineRule="exact"/>
        <w:ind w:firstLine="64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1</w:t>
      </w:r>
      <w:r>
        <w:rPr>
          <w:rFonts w:ascii="仿宋_GB2312" w:hAnsi="楷体_GB2312" w:eastAsia="仿宋_GB2312" w:cs="楷体_GB2312"/>
          <w:color w:val="000000" w:themeColor="text1"/>
          <w:sz w:val="32"/>
          <w:szCs w:val="32"/>
          <w14:textFill>
            <w14:solidFill>
              <w14:schemeClr w14:val="tx1"/>
            </w14:solidFill>
          </w14:textFill>
        </w:rPr>
        <w:t>.</w:t>
      </w:r>
      <w:r>
        <w:rPr>
          <w:rFonts w:hint="eastAsia" w:ascii="仿宋_GB2312" w:hAnsi="楷体_GB2312" w:eastAsia="仿宋_GB2312" w:cs="楷体_GB2312"/>
          <w:color w:val="000000" w:themeColor="text1"/>
          <w:sz w:val="32"/>
          <w:szCs w:val="32"/>
          <w14:textFill>
            <w14:solidFill>
              <w14:schemeClr w14:val="tx1"/>
            </w14:solidFill>
          </w14:textFill>
        </w:rPr>
        <w:t>课题申报书填报的研究内容提纲论证需至少细化到三级标题；</w:t>
      </w:r>
    </w:p>
    <w:p>
      <w:pPr>
        <w:pStyle w:val="9"/>
        <w:adjustRightInd w:val="0"/>
        <w:snapToGrid w:val="0"/>
        <w:spacing w:line="560" w:lineRule="exact"/>
        <w:ind w:firstLine="64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2.要求课题研究内容紧紧围绕福田区发展实际，研究成果与福田直接相关需达到60%以上，特别是提出的问题和思路建议需直接体现福田特征；</w:t>
      </w:r>
    </w:p>
    <w:p>
      <w:pPr>
        <w:pStyle w:val="9"/>
        <w:adjustRightInd w:val="0"/>
        <w:snapToGrid w:val="0"/>
        <w:spacing w:line="560" w:lineRule="exact"/>
        <w:ind w:firstLine="64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3.课题申报书的研究思路和提纲论证等内容，将作为课题招标遴选的直接依据，请各申报机构高度重视、大力支持为盼。</w:t>
      </w:r>
    </w:p>
    <w:p>
      <w:pPr>
        <w:pStyle w:val="9"/>
        <w:adjustRightInd w:val="0"/>
        <w:snapToGrid w:val="0"/>
        <w:spacing w:line="56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二、课题</w:t>
      </w:r>
      <w:r>
        <w:rPr>
          <w:rFonts w:hint="eastAsia" w:ascii="黑体" w:hAnsi="黑体" w:eastAsia="黑体"/>
          <w:color w:val="000000" w:themeColor="text1"/>
          <w:sz w:val="32"/>
          <w:szCs w:val="32"/>
          <w:lang w:eastAsia="zh-CN"/>
          <w14:textFill>
            <w14:solidFill>
              <w14:schemeClr w14:val="tx1"/>
            </w14:solidFill>
          </w14:textFill>
        </w:rPr>
        <w:t>选题及</w:t>
      </w:r>
      <w:r>
        <w:rPr>
          <w:rFonts w:hint="eastAsia" w:ascii="黑体" w:hAnsi="黑体" w:eastAsia="黑体"/>
          <w:color w:val="000000" w:themeColor="text1"/>
          <w:sz w:val="32"/>
          <w:szCs w:val="32"/>
          <w14:textFill>
            <w14:solidFill>
              <w14:schemeClr w14:val="tx1"/>
            </w14:solidFill>
          </w14:textFill>
        </w:rPr>
        <w:t>研究指引</w:t>
      </w:r>
    </w:p>
    <w:bookmarkEnd w:id="1"/>
    <w:p>
      <w:pPr>
        <w:adjustRightInd w:val="0"/>
        <w:snapToGrid w:val="0"/>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bookmarkStart w:id="2" w:name="_Hlk536192133"/>
      <w:r>
        <w:rPr>
          <w:rFonts w:hint="eastAsia" w:ascii="楷体_GB2312" w:hAnsi="黑体" w:eastAsia="楷体_GB2312"/>
          <w:color w:val="000000" w:themeColor="text1"/>
          <w:sz w:val="32"/>
          <w:szCs w:val="32"/>
          <w14:textFill>
            <w14:solidFill>
              <w14:schemeClr w14:val="tx1"/>
            </w14:solidFill>
          </w14:textFill>
        </w:rPr>
        <w:t>1.福田建设高质量发展的社会主义现代化典范城区目标任务研究</w:t>
      </w:r>
      <w:bookmarkEnd w:id="2"/>
    </w:p>
    <w:p>
      <w:pPr>
        <w:adjustRightInd w:val="0"/>
        <w:snapToGrid w:val="0"/>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在改革开放40周年的关键节点，习近平总书记亲临广东、深圳视察并发表重要讲话，指示深圳要“朝着建设中国特色社会主义先行示范区的方向前行，努力创建社会主义现代化强国的城市范例”。</w:t>
      </w:r>
      <w:r>
        <w:rPr>
          <w:rFonts w:hint="eastAsia" w:ascii="仿宋_GB2312" w:hAnsi="仿宋" w:eastAsia="仿宋_GB2312"/>
          <w:color w:val="000000" w:themeColor="text1"/>
          <w:sz w:val="32"/>
          <w:szCs w:val="32"/>
          <w14:textFill>
            <w14:solidFill>
              <w14:schemeClr w14:val="tx1"/>
            </w14:solidFill>
          </w14:textFill>
        </w:rPr>
        <w:t>福田作为深圳中心城区，</w:t>
      </w:r>
      <w:r>
        <w:rPr>
          <w:rFonts w:hint="eastAsia" w:ascii="仿宋_GB2312" w:hAnsi="仿宋_GB2312" w:eastAsia="仿宋_GB2312" w:cs="仿宋_GB2312"/>
          <w:color w:val="000000" w:themeColor="text1"/>
          <w:sz w:val="32"/>
          <w:szCs w:val="32"/>
          <w14:textFill>
            <w14:solidFill>
              <w14:schemeClr w14:val="tx1"/>
            </w14:solidFill>
          </w14:textFill>
        </w:rPr>
        <w:t>勇当改革开放尖兵，</w:t>
      </w:r>
      <w:r>
        <w:rPr>
          <w:rFonts w:hint="eastAsia" w:ascii="仿宋_GB2312" w:hAnsi="仿宋" w:eastAsia="仿宋_GB2312"/>
          <w:color w:val="000000" w:themeColor="text1"/>
          <w:sz w:val="32"/>
          <w:szCs w:val="32"/>
          <w14:textFill>
            <w14:solidFill>
              <w14:schemeClr w14:val="tx1"/>
            </w14:solidFill>
          </w14:textFill>
        </w:rPr>
        <w:t>提出了</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加快建设高质量发展的社会主义现代化典范城区</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的战略目标。</w:t>
      </w:r>
      <w:r>
        <w:rPr>
          <w:rFonts w:hint="eastAsia" w:ascii="仿宋_GB2312" w:eastAsia="仿宋_GB2312"/>
          <w:color w:val="000000" w:themeColor="text1"/>
          <w:sz w:val="32"/>
          <w:szCs w:val="32"/>
          <w14:textFill>
            <w14:solidFill>
              <w14:schemeClr w14:val="tx1"/>
            </w14:solidFill>
          </w14:textFill>
        </w:rPr>
        <w:t>本课题拟围绕此目标，通过研究分析德国、美国、新加坡等现代化先行国家推进现代化建设的相关经验，积极借鉴现代化的评价标准和理论体系，对标市里提出的十个方面“先行示范”，构建量化的现代化指标体系，分析评估福田社会主义现代化建设的进程水平，研究提出建设社会主义现代化典范城区的目标任务及对策建议。</w:t>
      </w:r>
    </w:p>
    <w:p>
      <w:pPr>
        <w:adjustRightInd w:val="0"/>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课题重点回答以下问题：</w:t>
      </w:r>
      <w:r>
        <w:rPr>
          <w:rFonts w:hint="eastAsia" w:ascii="仿宋_GB2312" w:eastAsia="仿宋_GB2312"/>
          <w:color w:val="000000" w:themeColor="text1"/>
          <w:sz w:val="32"/>
          <w:szCs w:val="32"/>
          <w14:textFill>
            <w14:solidFill>
              <w14:schemeClr w14:val="tx1"/>
            </w14:solidFill>
          </w14:textFill>
        </w:rPr>
        <w:t>一是深刻理解“社会主义现代化典范城区”的发展内涵和建设方向；二是梳理总结德国、美国、新加坡等现代化先行国家推进现代化建设的相关经验；三是积极借鉴现代化城区建设的评价标准和理论体系，对标市里提出的十个方面“先行示范”，构建量化的现代化指标体系；四是评估分析福田社会主义现代化建设的进程水平，研究提出建设社会主义现代化典范城区的目标任务及具体对策建议。</w:t>
      </w:r>
    </w:p>
    <w:p>
      <w:pPr>
        <w:adjustRightInd w:val="0"/>
        <w:snapToGrid w:val="0"/>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bookmarkStart w:id="3" w:name="_Hlk536192176"/>
      <w:r>
        <w:rPr>
          <w:rFonts w:hint="eastAsia" w:ascii="楷体_GB2312" w:hAnsi="黑体" w:eastAsia="楷体_GB2312"/>
          <w:color w:val="000000" w:themeColor="text1"/>
          <w:sz w:val="32"/>
          <w:szCs w:val="32"/>
          <w14:textFill>
            <w14:solidFill>
              <w14:schemeClr w14:val="tx1"/>
            </w14:solidFill>
          </w14:textFill>
        </w:rPr>
        <w:t>2</w:t>
      </w:r>
      <w:r>
        <w:rPr>
          <w:rFonts w:ascii="楷体_GB2312" w:hAnsi="黑体" w:eastAsia="楷体_GB2312"/>
          <w:color w:val="000000" w:themeColor="text1"/>
          <w:sz w:val="32"/>
          <w:szCs w:val="32"/>
          <w14:textFill>
            <w14:solidFill>
              <w14:schemeClr w14:val="tx1"/>
            </w14:solidFill>
          </w14:textFill>
        </w:rPr>
        <w:t>.</w:t>
      </w:r>
      <w:r>
        <w:rPr>
          <w:rFonts w:hint="eastAsia" w:ascii="楷体_GB2312" w:hAnsi="黑体" w:eastAsia="楷体_GB2312"/>
          <w:color w:val="000000" w:themeColor="text1"/>
          <w:sz w:val="32"/>
          <w:szCs w:val="32"/>
          <w14:textFill>
            <w14:solidFill>
              <w14:schemeClr w14:val="tx1"/>
            </w14:solidFill>
          </w14:textFill>
        </w:rPr>
        <w:t>福田打造都市型综合科创区的政府作用研究</w:t>
      </w:r>
    </w:p>
    <w:bookmarkEnd w:id="3"/>
    <w:p>
      <w:pPr>
        <w:pStyle w:val="9"/>
        <w:adjustRightInd w:val="0"/>
        <w:snapToGrid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《国家重大科技基础设施建设“十三五”规划》提出，到2020年，基本建成若干具有国际影响力的综合性国家科学中心。综合性国家科学中心建设已成为区域竞争的焦点。本课题拟重点</w:t>
      </w:r>
      <w:bookmarkStart w:id="4" w:name="_Hlk5974594"/>
      <w:r>
        <w:rPr>
          <w:rFonts w:hint="eastAsia" w:ascii="仿宋_GB2312" w:eastAsia="仿宋_GB2312"/>
          <w:color w:val="000000" w:themeColor="text1"/>
          <w:sz w:val="32"/>
          <w:szCs w:val="32"/>
          <w14:textFill>
            <w14:solidFill>
              <w14:schemeClr w14:val="tx1"/>
            </w14:solidFill>
          </w14:textFill>
        </w:rPr>
        <w:t>研究硅谷、波士顿、伦敦，北京中关村、上海张江等国内外先进城区，政府在推动科技创新方面的具体措施和经验做法，</w:t>
      </w:r>
      <w:bookmarkEnd w:id="4"/>
      <w:r>
        <w:rPr>
          <w:rFonts w:hint="eastAsia" w:ascii="仿宋_GB2312" w:eastAsia="仿宋_GB2312"/>
          <w:color w:val="000000" w:themeColor="text1"/>
          <w:sz w:val="32"/>
          <w:szCs w:val="32"/>
          <w14:textFill>
            <w14:solidFill>
              <w14:schemeClr w14:val="tx1"/>
            </w14:solidFill>
          </w14:textFill>
        </w:rPr>
        <w:t>在此基础上就福田区创建离岸、跨境、国际化的综合性国家科学中心，打造都市型综合科创区这一战略目标，研究提出具体的战略举措和实现路径，包括应如何提前布局重点项目，明确关键环节，广泛联络香港乃至国际创新资源，积极向上级部门申请支持等对策建议。</w:t>
      </w:r>
    </w:p>
    <w:p>
      <w:pPr>
        <w:pStyle w:val="9"/>
        <w:adjustRightInd w:val="0"/>
        <w:snapToGrid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课题重点回答以下问题：</w:t>
      </w:r>
      <w:r>
        <w:rPr>
          <w:rFonts w:hint="eastAsia" w:ascii="仿宋_GB2312" w:eastAsia="仿宋_GB2312"/>
          <w:color w:val="000000" w:themeColor="text1"/>
          <w:sz w:val="32"/>
          <w:szCs w:val="32"/>
          <w14:textFill>
            <w14:solidFill>
              <w14:schemeClr w14:val="tx1"/>
            </w14:solidFill>
          </w14:textFill>
        </w:rPr>
        <w:t>一是对“都市型综合科创区”概念进行界定，明确打造都市型综合科创区的基本要素及特征。二是研究硅谷、波士顿、伦敦，北京中关村、上海张江等国内外先进城区，政府在推动科技创新方面的具体措施和经验做法。三是摸清福田区科技创新基础情况，包括但不限于研究机构基本情况、行业分布、资质等；科创企业经营情况（增加值、利润率、研发投入、人才队伍、上市情况）、行业分布，挖掘潜力企业、隐形冠军；科技创新的突破点、存在的困难等。</w:t>
      </w:r>
      <w:r>
        <w:rPr>
          <w:rFonts w:hint="eastAsia" w:ascii="仿宋_GB2312" w:hAnsi="仿宋_GB2312" w:eastAsia="仿宋_GB2312" w:cs="仿宋_GB2312"/>
          <w:color w:val="000000" w:themeColor="text1"/>
          <w:sz w:val="32"/>
          <w:szCs w:val="32"/>
          <w14:textFill>
            <w14:solidFill>
              <w14:schemeClr w14:val="tx1"/>
            </w14:solidFill>
          </w14:textFill>
        </w:rPr>
        <w:t>四是</w:t>
      </w:r>
      <w:r>
        <w:rPr>
          <w:rFonts w:hint="eastAsia" w:ascii="仿宋_GB2312" w:eastAsia="仿宋_GB2312"/>
          <w:color w:val="000000" w:themeColor="text1"/>
          <w:sz w:val="32"/>
          <w:szCs w:val="32"/>
          <w14:textFill>
            <w14:solidFill>
              <w14:schemeClr w14:val="tx1"/>
            </w14:solidFill>
          </w14:textFill>
        </w:rPr>
        <w:t>明确福田打造都市型综合科创区的核心抓手（到底要做哪几件大事，最要害和关键环节是什么，哪些可以提前布局，哪些可以广泛联络香港乃至国际创新资源，哪些可以向上级部门申请支持等），提出具体思路和建议。</w:t>
      </w:r>
    </w:p>
    <w:p>
      <w:pPr>
        <w:adjustRightInd w:val="0"/>
        <w:snapToGrid w:val="0"/>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3</w:t>
      </w:r>
      <w:r>
        <w:rPr>
          <w:rFonts w:ascii="楷体_GB2312" w:hAnsi="黑体" w:eastAsia="楷体_GB2312"/>
          <w:color w:val="000000" w:themeColor="text1"/>
          <w:sz w:val="32"/>
          <w:szCs w:val="32"/>
          <w14:textFill>
            <w14:solidFill>
              <w14:schemeClr w14:val="tx1"/>
            </w14:solidFill>
          </w14:textFill>
        </w:rPr>
        <w:t>.</w:t>
      </w:r>
      <w:r>
        <w:rPr>
          <w:rFonts w:hint="eastAsia" w:ascii="楷体_GB2312" w:hAnsi="黑体" w:eastAsia="楷体_GB2312"/>
          <w:color w:val="000000" w:themeColor="text1"/>
          <w:sz w:val="32"/>
          <w:szCs w:val="32"/>
          <w14:textFill>
            <w14:solidFill>
              <w14:schemeClr w14:val="tx1"/>
            </w14:solidFill>
          </w14:textFill>
        </w:rPr>
        <w:t>国际经济环境变化对福田经济产业发展影响研究</w:t>
      </w:r>
    </w:p>
    <w:p>
      <w:pPr>
        <w:pStyle w:val="9"/>
        <w:adjustRightInd w:val="0"/>
        <w:snapToGrid w:val="0"/>
        <w:spacing w:line="560" w:lineRule="exact"/>
        <w:ind w:firstLine="64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当前国际经济形势错综复杂，日益增多的国际经济摩擦折射出世界经济发展面临的深层问题，</w:t>
      </w:r>
      <w:r>
        <w:rPr>
          <w:rFonts w:hint="eastAsia" w:ascii="仿宋_GB2312" w:hAnsi="仿宋_GB2312" w:eastAsia="仿宋_GB2312" w:cs="仿宋_GB2312"/>
          <w:color w:val="000000" w:themeColor="text1"/>
          <w:sz w:val="32"/>
          <w:szCs w:val="32"/>
          <w14:textFill>
            <w14:solidFill>
              <w14:schemeClr w14:val="tx1"/>
            </w14:solidFill>
          </w14:textFill>
        </w:rPr>
        <w:t>世界经济进入了秩序重塑的关键阶段</w:t>
      </w:r>
      <w:r>
        <w:rPr>
          <w:rFonts w:hint="eastAsia" w:ascii="仿宋_GB2312" w:eastAsia="仿宋_GB2312"/>
          <w:color w:val="000000" w:themeColor="text1"/>
          <w:kern w:val="0"/>
          <w:sz w:val="32"/>
          <w:szCs w:val="32"/>
          <w14:textFill>
            <w14:solidFill>
              <w14:schemeClr w14:val="tx1"/>
            </w14:solidFill>
          </w14:textFill>
        </w:rPr>
        <w:t>。作为外贸大区，福田的经济对外依存度较高，容易受到世界经济形势变化的影响。本课题拟以问卷调查、深入访谈等方式，调研外向度较高的产业、企业、人群等，系统研究近期国际经济形势变化对福田进出口、产业链、就业、经济发展等方面带来的影响，并研判世界经济贸易未来走势及其影响，提出前瞻性对策建议。</w:t>
      </w:r>
    </w:p>
    <w:p>
      <w:pPr>
        <w:pStyle w:val="9"/>
        <w:adjustRightInd w:val="0"/>
        <w:snapToGrid w:val="0"/>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课题重点回答以下问题：一是分析当前全球经济发展态势和国际贸易趋势；二是重点调研福田</w:t>
      </w:r>
      <w:r>
        <w:rPr>
          <w:rFonts w:hint="eastAsia" w:ascii="仿宋_GB2312" w:eastAsia="仿宋_GB2312"/>
          <w:color w:val="000000" w:themeColor="text1"/>
          <w:kern w:val="0"/>
          <w:sz w:val="32"/>
          <w:szCs w:val="32"/>
          <w14:textFill>
            <w14:solidFill>
              <w14:schemeClr w14:val="tx1"/>
            </w14:solidFill>
          </w14:textFill>
        </w:rPr>
        <w:t>外向度较高的产业、企业、人群等，通过深度访谈、问卷调查等方式，分析近期国际经济形势变化对其产生的影响；三是在微观个体调研的基础上，全面分析当前国际经济变化对福田区进出口、产业链、就业、经济发展等方面带来的影响，并预判世界经济贸易未来走势及其影响；四是借鉴分析国内外向型经济大区应对国际经济发展变动的具体举措；五是针对调研结果，提出福田区应对国际经济发展的具体举措，以</w:t>
      </w:r>
      <w:r>
        <w:rPr>
          <w:rFonts w:hint="eastAsia" w:ascii="仿宋_GB2312" w:hAnsi="仿宋_GB2312" w:eastAsia="仿宋_GB2312" w:cs="仿宋_GB2312"/>
          <w:color w:val="000000" w:themeColor="text1"/>
          <w:sz w:val="32"/>
          <w:szCs w:val="32"/>
          <w14:textFill>
            <w14:solidFill>
              <w14:schemeClr w14:val="tx1"/>
            </w14:solidFill>
          </w14:textFill>
        </w:rPr>
        <w:t>在复杂多变的国际矛盾和日趋激烈的国际竞争中赢得主动，推动福田经济发展。</w:t>
      </w:r>
    </w:p>
    <w:p>
      <w:pPr>
        <w:adjustRightInd w:val="0"/>
        <w:snapToGrid w:val="0"/>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4</w:t>
      </w:r>
      <w:r>
        <w:rPr>
          <w:rFonts w:ascii="楷体_GB2312" w:hAnsi="黑体" w:eastAsia="楷体_GB2312"/>
          <w:color w:val="000000" w:themeColor="text1"/>
          <w:sz w:val="32"/>
          <w:szCs w:val="32"/>
          <w14:textFill>
            <w14:solidFill>
              <w14:schemeClr w14:val="tx1"/>
            </w14:solidFill>
          </w14:textFill>
        </w:rPr>
        <w:t>.</w:t>
      </w:r>
      <w:r>
        <w:rPr>
          <w:rFonts w:hint="eastAsia" w:ascii="楷体_GB2312" w:hAnsi="黑体" w:eastAsia="楷体_GB2312"/>
          <w:color w:val="000000" w:themeColor="text1"/>
          <w:sz w:val="32"/>
          <w:szCs w:val="32"/>
          <w14:textFill>
            <w14:solidFill>
              <w14:schemeClr w14:val="tx1"/>
            </w14:solidFill>
          </w14:textFill>
        </w:rPr>
        <w:t>福田</w:t>
      </w:r>
      <w:r>
        <w:rPr>
          <w:rFonts w:ascii="楷体_GB2312" w:hAnsi="黑体" w:eastAsia="楷体_GB2312"/>
          <w:color w:val="000000" w:themeColor="text1"/>
          <w:sz w:val="32"/>
          <w:szCs w:val="32"/>
          <w14:textFill>
            <w14:solidFill>
              <w14:schemeClr w14:val="tx1"/>
            </w14:solidFill>
          </w14:textFill>
        </w:rPr>
        <w:t>5G</w:t>
      </w:r>
      <w:r>
        <w:rPr>
          <w:rFonts w:hint="eastAsia" w:ascii="楷体_GB2312" w:hAnsi="黑体" w:eastAsia="楷体_GB2312"/>
          <w:color w:val="000000" w:themeColor="text1"/>
          <w:sz w:val="32"/>
          <w:szCs w:val="32"/>
          <w14:textFill>
            <w14:solidFill>
              <w14:schemeClr w14:val="tx1"/>
            </w14:solidFill>
          </w14:textFill>
        </w:rPr>
        <w:t>产业现状及发展策略研究</w:t>
      </w:r>
    </w:p>
    <w:p>
      <w:pPr>
        <w:adjustRightInd w:val="0"/>
        <w:snapToGrid w:val="0"/>
        <w:spacing w:line="560" w:lineRule="exact"/>
        <w:ind w:firstLine="604" w:firstLineChars="18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G是我国经济新动能的重要基础，随着今年中央经济工作会议提出要加快5G商用步伐，5G产业将迎来爆发式增长。5G技术不仅能带动其整个产业链的发展，还能通过技术应用推动移动互联网、物联网、大数据、大视频、云计算以及AI等技术的升级和推广应用，进而实现对智慧交通、智慧城市、智慧工业等产业的赋能，具有广阔的应用前景。本课题拟在对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技术的发展趋势和应用前景进行分析的基础上，全面调研福田5G产业基础、企业规模、资本环境、政策因素等，研究提出发展5G产业、深度参与5G全球价值链以及推进5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在我区社会治理中创新应用等思路建议。</w:t>
      </w:r>
    </w:p>
    <w:p>
      <w:pPr>
        <w:adjustRightInd w:val="0"/>
        <w:snapToGrid w:val="0"/>
        <w:spacing w:line="560" w:lineRule="exact"/>
        <w:ind w:firstLine="604" w:firstLineChars="18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课题重点研究但不限于以下方面：一是梳理福田5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产业基础、企业规模、资本环境、政策因素等基础数据；二是分析福田发展5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产业的重要性、紧迫性和优劣势条件；三是国内外5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产业发展现状、场景实际应用现状以及对经济社会发展的影响；四是分析福田发展5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产业的总体思路、重点领域、实现路径，提出加快推进5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产业发展的配套措施和对策建议；五是对5</w:t>
      </w:r>
      <w:r>
        <w:rPr>
          <w:rFonts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14:textFill>
            <w14:solidFill>
              <w14:schemeClr w14:val="tx1"/>
            </w14:solidFill>
          </w14:textFill>
        </w:rPr>
        <w:t>如何参与社会治理进行深入分析，展现相关应用场景，对推进社会治理智慧化水平提出对策建议。</w:t>
      </w:r>
    </w:p>
    <w:p>
      <w:pPr>
        <w:adjustRightInd w:val="0"/>
        <w:snapToGrid w:val="0"/>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5</w:t>
      </w:r>
      <w:r>
        <w:rPr>
          <w:rFonts w:ascii="楷体_GB2312" w:hAnsi="黑体" w:eastAsia="楷体_GB2312"/>
          <w:color w:val="000000" w:themeColor="text1"/>
          <w:sz w:val="32"/>
          <w:szCs w:val="32"/>
          <w14:textFill>
            <w14:solidFill>
              <w14:schemeClr w14:val="tx1"/>
            </w14:solidFill>
          </w14:textFill>
        </w:rPr>
        <w:t>.</w:t>
      </w:r>
      <w:r>
        <w:rPr>
          <w:rFonts w:hint="eastAsia" w:ascii="楷体_GB2312" w:hAnsi="黑体" w:eastAsia="楷体_GB2312"/>
          <w:color w:val="000000" w:themeColor="text1"/>
          <w:sz w:val="32"/>
          <w:szCs w:val="32"/>
          <w14:textFill>
            <w14:solidFill>
              <w14:schemeClr w14:val="tx1"/>
            </w14:solidFill>
          </w14:textFill>
        </w:rPr>
        <w:t>福田金融创新中交叉性金融风险管理研究</w:t>
      </w:r>
    </w:p>
    <w:p>
      <w:pPr>
        <w:adjustRightInd w:val="0"/>
        <w:snapToGrid w:val="0"/>
        <w:spacing w:line="56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随着金融市场化改革和金融开放不断深化，跨市场的业务和产品创新大量涌现，在提高资金配置效率的同时，也容易导致风险的交叉传递。防范跨行业、跨市场的交叉性金融风险是维护金融稳定的重点领域。本课题旨在全面梳理当前福田金融业创新活动，特别是跨行业金融创新发展现状，深入研判可能引致的交叉金融风险，剖析目前金融风险防范的问题和难点，提出金融风险防范化解对策建议。</w:t>
      </w:r>
    </w:p>
    <w:p>
      <w:pPr>
        <w:adjustRightInd w:val="0"/>
        <w:snapToGrid w:val="0"/>
        <w:spacing w:line="56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课题重点回答以下问题：一是</w:t>
      </w:r>
      <w:r>
        <w:rPr>
          <w:rFonts w:hint="eastAsia" w:ascii="仿宋_GB2312" w:eastAsia="仿宋_GB2312"/>
          <w:color w:val="000000" w:themeColor="text1"/>
          <w:kern w:val="0"/>
          <w:sz w:val="32"/>
          <w:szCs w:val="32"/>
          <w14:textFill>
            <w14:solidFill>
              <w14:schemeClr w14:val="tx1"/>
            </w14:solidFill>
          </w14:textFill>
        </w:rPr>
        <w:t>全面梳理当前福田金融业创新活动，特别是跨行业金融创新发展现状；二是总结分析国内地区金融创新风险的防范经验及教训；三是深入研判福田区金融创新可能引致的交叉金融风险，进一步摸清我区金融风险底数，剖析目前金融风险防范的问题和难点；四是提出福田区金融风险防范化解的具体对策建议。</w:t>
      </w:r>
    </w:p>
    <w:p>
      <w:pPr>
        <w:adjustRightInd w:val="0"/>
        <w:snapToGrid w:val="0"/>
        <w:spacing w:line="56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6</w:t>
      </w:r>
      <w:r>
        <w:rPr>
          <w:rFonts w:ascii="楷体_GB2312" w:hAnsi="黑体" w:eastAsia="楷体_GB2312"/>
          <w:color w:val="000000" w:themeColor="text1"/>
          <w:sz w:val="32"/>
          <w:szCs w:val="32"/>
          <w14:textFill>
            <w14:solidFill>
              <w14:schemeClr w14:val="tx1"/>
            </w14:solidFill>
          </w14:textFill>
        </w:rPr>
        <w:t>.</w:t>
      </w:r>
      <w:r>
        <w:rPr>
          <w:rFonts w:hint="eastAsia" w:ascii="楷体_GB2312" w:hAnsi="黑体" w:eastAsia="楷体_GB2312"/>
          <w:color w:val="000000" w:themeColor="text1"/>
          <w:sz w:val="32"/>
          <w:szCs w:val="32"/>
          <w14:textFill>
            <w14:solidFill>
              <w14:schemeClr w14:val="tx1"/>
            </w14:solidFill>
          </w14:textFill>
        </w:rPr>
        <w:t>福田</w:t>
      </w:r>
      <w:r>
        <w:rPr>
          <w:rFonts w:ascii="楷体_GB2312" w:hAnsi="黑体" w:eastAsia="楷体_GB2312"/>
          <w:color w:val="000000" w:themeColor="text1"/>
          <w:sz w:val="32"/>
          <w:szCs w:val="32"/>
          <w14:textFill>
            <w14:solidFill>
              <w14:schemeClr w14:val="tx1"/>
            </w14:solidFill>
          </w14:textFill>
        </w:rPr>
        <w:t>落实</w:t>
      </w:r>
      <w:r>
        <w:rPr>
          <w:rFonts w:hint="eastAsia" w:ascii="楷体_GB2312" w:hAnsi="黑体" w:eastAsia="楷体_GB2312"/>
          <w:color w:val="000000" w:themeColor="text1"/>
          <w:sz w:val="32"/>
          <w:szCs w:val="32"/>
          <w14:textFill>
            <w14:solidFill>
              <w14:schemeClr w14:val="tx1"/>
            </w14:solidFill>
          </w14:textFill>
        </w:rPr>
        <w:t>促进外商投资策略研究</w:t>
      </w:r>
    </w:p>
    <w:p>
      <w:pPr>
        <w:pStyle w:val="9"/>
        <w:adjustRightInd w:val="0"/>
        <w:snapToGrid w:val="0"/>
        <w:spacing w:line="560" w:lineRule="exact"/>
        <w:ind w:firstLine="64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为了进一步扩大对外开放，积极促进外商投资，2019年3月，全国人大通过了《外商投资法》，自2020年1月1日起施行。《外商投资法》的出台，意在培育更有活力的市场多元主体、建设更公平的市场竞争机制、打造更优良的市场营商环境。本课题拟围绕福田</w:t>
      </w:r>
      <w:r>
        <w:rPr>
          <w:rFonts w:ascii="仿宋_GB2312" w:eastAsia="仿宋_GB2312"/>
          <w:color w:val="000000" w:themeColor="text1"/>
          <w:kern w:val="0"/>
          <w:sz w:val="32"/>
          <w:szCs w:val="32"/>
          <w14:textFill>
            <w14:solidFill>
              <w14:schemeClr w14:val="tx1"/>
            </w14:solidFill>
          </w14:textFill>
        </w:rPr>
        <w:t>如何按照《外商投资法》相关规定落实政策</w:t>
      </w:r>
      <w:r>
        <w:rPr>
          <w:rFonts w:hint="eastAsia" w:ascii="仿宋_GB2312" w:eastAsia="仿宋_GB2312"/>
          <w:color w:val="000000" w:themeColor="text1"/>
          <w:kern w:val="0"/>
          <w:sz w:val="32"/>
          <w:szCs w:val="32"/>
          <w14:textFill>
            <w14:solidFill>
              <w14:schemeClr w14:val="tx1"/>
            </w14:solidFill>
          </w14:textFill>
        </w:rPr>
        <w:t>进行深入调研，开展外商投资服务和机制创新研究，提出相关改革举措，以此提升中心城区国际化营商环境，推动进一步形成全面开放新格局。</w:t>
      </w:r>
    </w:p>
    <w:p>
      <w:pPr>
        <w:adjustRightInd w:val="0"/>
        <w:snapToGrid w:val="0"/>
        <w:spacing w:line="560" w:lineRule="exact"/>
        <w:ind w:firstLine="604" w:firstLineChars="189"/>
        <w:rPr>
          <w:rFonts w:asci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研究但不限于以下方面：一是对福田外资企业、外资利用状况进行全面摸底，分析外资企业在发展当中面临哪些困难和问题；二是推进外商投资法落地福田可以采取哪些具体举措；三是结合国际贸易环境及中美贸易谈判进展，分析研判加快对外开放过程中我区产业发展所面临的机遇和挑战；四是福田哪些产业领域可以进一步推动外商投资，如何进一步引导和规范外资投资方向，如何防范和应对外资风险；五是粤港澳大湾区背景下，福田如何创新外资利用形式；六是</w:t>
      </w:r>
      <w:r>
        <w:rPr>
          <w:rFonts w:hint="eastAsia" w:ascii="仿宋_GB2312" w:eastAsia="仿宋_GB2312"/>
          <w:color w:val="000000" w:themeColor="text1"/>
          <w:kern w:val="0"/>
          <w:sz w:val="32"/>
          <w:szCs w:val="32"/>
          <w14:textFill>
            <w14:solidFill>
              <w14:schemeClr w14:val="tx1"/>
            </w14:solidFill>
          </w14:textFill>
        </w:rPr>
        <w:t>对加快推进外商投资法落地，进一步优化外商投资服务，进一步提升中心城区国际化营商环境提出对策建议。</w:t>
      </w:r>
    </w:p>
    <w:p>
      <w:pPr>
        <w:adjustRightInd w:val="0"/>
        <w:snapToGrid w:val="0"/>
        <w:spacing w:line="560" w:lineRule="exact"/>
        <w:ind w:firstLine="640" w:firstLineChars="200"/>
        <w:jc w:val="left"/>
        <w:rPr>
          <w:rFonts w:ascii="楷体_GB2312" w:hAnsi="黑体" w:eastAsia="楷体_GB2312" w:cs="黑体"/>
          <w:color w:val="000000" w:themeColor="text1"/>
          <w:sz w:val="32"/>
          <w:szCs w:val="32"/>
          <w14:textFill>
            <w14:solidFill>
              <w14:schemeClr w14:val="tx1"/>
            </w14:solidFill>
          </w14:textFill>
        </w:rPr>
      </w:pPr>
      <w:r>
        <w:rPr>
          <w:rFonts w:ascii="楷体_GB2312" w:hAnsi="黑体" w:eastAsia="楷体_GB2312" w:cs="黑体"/>
          <w:color w:val="000000" w:themeColor="text1"/>
          <w:sz w:val="32"/>
          <w:szCs w:val="32"/>
          <w14:textFill>
            <w14:solidFill>
              <w14:schemeClr w14:val="tx1"/>
            </w14:solidFill>
          </w14:textFill>
        </w:rPr>
        <w:t>7</w:t>
      </w:r>
      <w:r>
        <w:rPr>
          <w:rFonts w:hint="eastAsia" w:ascii="楷体_GB2312" w:hAnsi="黑体" w:eastAsia="楷体_GB2312" w:cs="黑体"/>
          <w:color w:val="000000" w:themeColor="text1"/>
          <w:sz w:val="32"/>
          <w:szCs w:val="32"/>
          <w14:textFill>
            <w14:solidFill>
              <w14:schemeClr w14:val="tx1"/>
            </w14:solidFill>
          </w14:textFill>
        </w:rPr>
        <w:t>.粤港澳大湾区背景下福田区打造“四个中心”的体制机制改革研究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2月，中共中央、国务院印发《粤港澳大湾区发展规划纲要》，明确了大湾区发展的战略定位，即充满活力的世界级城市群，具有全球影响力的国际科技创新中心，“一带一路”建设的重要支撑，内地与港澳深度合作示范区，宜居宜业宜游的优质生活圈。深圳作为大湾区发展的核心引擎之一，被赋予了“发挥作为经济特区、全国性经济中心城市和国家创新型城市的引领作用，加快建成现代化国际化城市，努力成为具有世界影响力的创新创意之都”的重要使命。《纲要》作为国家级重大区域发展规划，是当前和未来区域发展最重要的蓝图与指引。深圳的中心城区福田毗邻香港，具有得天独厚的地理优势，更有“首善之区”“改革尖兵”之名，在2019年初，福田区提出要提升中心城区“四大功能”，着力打造“国际金融中心”“科技创新中心”“文化教育中心”“服务交流中心”四个中心。更好地与香港等国际化机制体制对接，学习和借鉴先进经验，明确“四个中心”的内涵，找准打造“四个中心”的实施路径，对于福田区把脉时代方向，勇担历史使命，在粤港澳大湾区建设中充分发挥好核心引领作用尤为重要。本课题拟分析国外各大湾区及其重点城市发展历程，结合粤港澳大湾区发展规划，分析福田当前存在的机制体制障碍，提出打造“四个中心”的体制机制改革举措。</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回答以下问题：一是结合深圳在粤港澳大湾区中的角色定位及各大湾区发展历程，分析福田“四个中心”未来的发展着力点；二是明确福田“四个中心”内涵，分析福田“四个中心”与周边城市及兄弟城区的差异化发展方向；三是结合“四个中心”的定位，分析福田现阶段存在的体制弊端及存在问题；四是根据福田区实际，提出落实“四个中心”的具体改革发展建议及实施路径，可扩展到多年规划或行动方案。</w:t>
      </w:r>
    </w:p>
    <w:p>
      <w:pPr>
        <w:adjustRightInd w:val="0"/>
        <w:snapToGrid w:val="0"/>
        <w:spacing w:line="560" w:lineRule="exact"/>
        <w:ind w:firstLine="640" w:firstLineChars="200"/>
        <w:jc w:val="left"/>
        <w:rPr>
          <w:rFonts w:ascii="楷体_GB2312" w:hAnsi="黑体" w:eastAsia="楷体_GB2312" w:cs="黑体"/>
          <w:color w:val="000000" w:themeColor="text1"/>
          <w:sz w:val="32"/>
          <w:szCs w:val="32"/>
          <w14:textFill>
            <w14:solidFill>
              <w14:schemeClr w14:val="tx1"/>
            </w14:solidFill>
          </w14:textFill>
        </w:rPr>
      </w:pPr>
      <w:r>
        <w:rPr>
          <w:rFonts w:ascii="楷体_GB2312" w:hAnsi="黑体" w:eastAsia="楷体_GB2312" w:cs="黑体"/>
          <w:color w:val="000000" w:themeColor="text1"/>
          <w:sz w:val="32"/>
          <w:szCs w:val="32"/>
          <w14:textFill>
            <w14:solidFill>
              <w14:schemeClr w14:val="tx1"/>
            </w14:solidFill>
          </w14:textFill>
        </w:rPr>
        <w:t>8</w:t>
      </w:r>
      <w:r>
        <w:rPr>
          <w:rFonts w:hint="eastAsia" w:ascii="楷体_GB2312" w:hAnsi="黑体" w:eastAsia="楷体_GB2312" w:cs="黑体"/>
          <w:color w:val="000000" w:themeColor="text1"/>
          <w:sz w:val="32"/>
          <w:szCs w:val="32"/>
          <w14:textFill>
            <w14:solidFill>
              <w14:schemeClr w14:val="tx1"/>
            </w14:solidFill>
          </w14:textFill>
        </w:rPr>
        <w:t>.粤港澳大湾区背景下福田区构建全链条式科技创新创业体系及其实施路径研究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3月27日，深圳市发布《深圳市可持续发展规划(2017—2030年)》，提出全面推进体制机制、科技、产业、商业模式等方面创新，着力构建多要素联动、多主体协同的综合创新生态体系，形成“基础研究+技术开发+成果转化+金融支持”的创新全链条，打造具有全球影响力的创新活力之都。深化科技体制改革，破除体制机制障碍，是推动聚力创新的关键。如何让科技创新发挥更强劲的力量，推动科技创新的供给侧改革，是福田区一直思考的问题。为此，福田区委区政府2019年特别提出了“国际金融中心”“科技创新中心”的建设目标和“金融+科技”的现代产业体系规划。本课题拟在粤港澳大湾区发展的背景下，围绕以构建“基础研究+技术开发+成果转化+金融支持”的创新全链条体系为研究目标，对比分析国内外主要地区的全链条创新创业体系、政策现状和产业发展历程，结合福田实际提出相关改革建议、产业布局规划和具体实施路径。</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主要回答以下问题：一是广泛收集、对比分析国内外主要地区关于全链条创新创业体系的模式、政策、主要做法和产业发展历程，深入分析各自的优缺点和适用条件；收集科技创新创业体系方面国家级、省级改革试点申报情况与途径。二是深入分析福田区构建全链条科技创新创业体系的现状和体制机制障碍，解析现有产业结构的不足。三是依托粤港澳大湾区背景和建设深港科技创新合作区现状，提出构建福田式“基础研究+技术开发+成果转化+金融支持”的科技创新创业全链条体系的改革建议、产业布局规划和具体实施路径，可扩展到多年规划或行动方案等。</w:t>
      </w:r>
    </w:p>
    <w:p>
      <w:pPr>
        <w:adjustRightInd w:val="0"/>
        <w:snapToGrid w:val="0"/>
        <w:spacing w:line="560" w:lineRule="exact"/>
        <w:ind w:firstLine="640" w:firstLineChars="200"/>
        <w:jc w:val="left"/>
        <w:rPr>
          <w:rFonts w:ascii="楷体_GB2312" w:hAnsi="黑体" w:eastAsia="楷体_GB2312" w:cs="黑体"/>
          <w:color w:val="000000" w:themeColor="text1"/>
          <w:sz w:val="32"/>
          <w:szCs w:val="32"/>
          <w14:textFill>
            <w14:solidFill>
              <w14:schemeClr w14:val="tx1"/>
            </w14:solidFill>
          </w14:textFill>
        </w:rPr>
      </w:pPr>
      <w:r>
        <w:rPr>
          <w:rFonts w:ascii="楷体_GB2312" w:hAnsi="黑体" w:eastAsia="楷体_GB2312" w:cs="黑体"/>
          <w:color w:val="000000" w:themeColor="text1"/>
          <w:sz w:val="32"/>
          <w:szCs w:val="32"/>
          <w14:textFill>
            <w14:solidFill>
              <w14:schemeClr w14:val="tx1"/>
            </w14:solidFill>
          </w14:textFill>
        </w:rPr>
        <w:t>9</w:t>
      </w:r>
      <w:r>
        <w:rPr>
          <w:rFonts w:hint="eastAsia" w:ascii="楷体_GB2312" w:hAnsi="黑体" w:eastAsia="楷体_GB2312" w:cs="黑体"/>
          <w:color w:val="000000" w:themeColor="text1"/>
          <w:sz w:val="32"/>
          <w:szCs w:val="32"/>
          <w14:textFill>
            <w14:solidFill>
              <w14:schemeClr w14:val="tx1"/>
            </w14:solidFill>
          </w14:textFill>
        </w:rPr>
        <w:t>.福田区“双拼小区”居住矛盾化解路径研究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满足居民居住需求，政府在商品房开发之前即与开发企业约定要按照一定比例建造保障性住房，由此形成同一小区不同房屋性质的“双拼”现象，这在人口聚集的一线城市更加普遍。在高房价背景下，随着大批公租房、人才住房等保障性住房投入使用，小区商品房业主与租户之间的居住矛盾频发，长租公寓、业主直租等非业主居住者与业主矛盾也较为尖锐。如：业主不愿与租户共享景观花园，在商品房与保障房楼栋间建“隔离墙”；小区车位紧张，业委会决定优先业主使用，不给租户配固定车位；同一小区物业费标准不一，使业主有不公平感；流动人口较多使业主缺乏安全感；学位、医疗资源紧张等等。在当下业委会行权欠缺法定规范制约，业委会权力膨胀，住房体制改革的社会背景下，“双拼小区”有可能成为未来基层矛盾新的引爆点。为落实贯彻中央省市有关“租售同权”的精神（同等待遇），本课题拟以平衡业主、租户权益，构建和谐稳定的社会环境为目的，从政策措施、市场调节、法律法规、社会规范等角度进行研究，探索解决“双拼小区”居住成本不均、公共资源分配、社会冲突频繁等方面的问题，提出具体的解决方案及实施路径，为区委区政府决策提供参考，将福田建设成为宜居宜业的“首善之区”。</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课题重点回答以下问题：一是从现实层面，“双拼小区”中各方的矛盾有哪些？该如何平衡？可以采取哪些手段？二是从理论层面，“双拼小区”中各方矛盾产生的原因？各方主张是否合理？有无法律依据？法律关系如何？社会关系如何？是否有相应社会学模型嵌套？三是当前房屋政策法规是否有不合理之处？若有，该如何改进？从福田区政府层面出发有何改进措施？从市政府层面有何改进建议？分阶段分步骤该如何改革？</w:t>
      </w:r>
    </w:p>
    <w:p>
      <w:pPr>
        <w:spacing w:line="560" w:lineRule="exact"/>
        <w:ind w:firstLine="640" w:firstLineChars="200"/>
        <w:jc w:val="left"/>
        <w:rPr>
          <w:rFonts w:ascii="楷体_GB2312" w:hAnsi="黑体" w:eastAsia="楷体_GB2312"/>
          <w:color w:val="000000" w:themeColor="text1"/>
          <w:sz w:val="32"/>
          <w:szCs w:val="32"/>
          <w14:textFill>
            <w14:solidFill>
              <w14:schemeClr w14:val="tx1"/>
            </w14:solidFill>
          </w14:textFill>
        </w:rPr>
      </w:pPr>
      <w:r>
        <w:rPr>
          <w:rFonts w:ascii="楷体_GB2312" w:hAnsi="黑体" w:eastAsia="楷体_GB2312"/>
          <w:color w:val="000000" w:themeColor="text1"/>
          <w:sz w:val="32"/>
          <w:szCs w:val="32"/>
          <w14:textFill>
            <w14:solidFill>
              <w14:schemeClr w14:val="tx1"/>
            </w14:solidFill>
          </w14:textFill>
        </w:rPr>
        <w:t>10</w:t>
      </w:r>
      <w:r>
        <w:rPr>
          <w:rFonts w:hint="eastAsia" w:ascii="楷体_GB2312" w:hAnsi="黑体" w:eastAsia="楷体_GB2312"/>
          <w:color w:val="000000" w:themeColor="text1"/>
          <w:sz w:val="32"/>
          <w:szCs w:val="32"/>
          <w14:textFill>
            <w14:solidFill>
              <w14:schemeClr w14:val="tx1"/>
            </w14:solidFill>
          </w14:textFill>
        </w:rPr>
        <w:t>.福田区优化基础教育资源配置研究</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基础教育资源配置分配的公平性是影响经济社会发展的一项重要因素，事关社会发展稳定大局。近年来，福田区在连年增加学位、优化学区资源配置的基础上，积极构建基础教育公共服务体系，2</w:t>
      </w:r>
      <w:r>
        <w:rPr>
          <w:rFonts w:ascii="仿宋_GB2312" w:eastAsia="仿宋_GB2312"/>
          <w:color w:val="000000" w:themeColor="text1"/>
          <w:sz w:val="32"/>
          <w:szCs w:val="32"/>
          <w14:textFill>
            <w14:solidFill>
              <w14:schemeClr w14:val="tx1"/>
            </w14:solidFill>
          </w14:textFill>
        </w:rPr>
        <w:t>019年</w:t>
      </w:r>
      <w:r>
        <w:rPr>
          <w:rFonts w:hint="eastAsia" w:ascii="仿宋_GB2312" w:eastAsia="仿宋_GB2312"/>
          <w:color w:val="000000" w:themeColor="text1"/>
          <w:sz w:val="32"/>
          <w:szCs w:val="32"/>
          <w14:textFill>
            <w14:solidFill>
              <w14:schemeClr w14:val="tx1"/>
            </w14:solidFill>
          </w14:textFill>
        </w:rPr>
        <w:t>被教育部选定为首批国家基础教育质量监测结果应用实验区。本课题拟根据福田区的“十三五”基础教育发展规划对全区基础教育各校的经费、师资配备、生源（学区分配）、课程、教育信息资源等方面的资源配备均衡情况进行研究，对影响基础教育资源配置的问题进行梳理，探索新时代福田区基础教育均衡发展新路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课题重点回答</w:t>
      </w:r>
      <w:r>
        <w:rPr>
          <w:rFonts w:hint="eastAsia" w:ascii="仿宋_GB2312" w:eastAsia="仿宋_GB2312"/>
          <w:color w:val="000000" w:themeColor="text1"/>
          <w:sz w:val="32"/>
          <w:szCs w:val="32"/>
          <w14:textFill>
            <w14:solidFill>
              <w14:schemeClr w14:val="tx1"/>
            </w14:solidFill>
          </w14:textFill>
        </w:rPr>
        <w:t>以下</w:t>
      </w:r>
      <w:r>
        <w:rPr>
          <w:rFonts w:ascii="仿宋_GB2312" w:eastAsia="仿宋_GB2312"/>
          <w:color w:val="000000" w:themeColor="text1"/>
          <w:sz w:val="32"/>
          <w:szCs w:val="32"/>
          <w14:textFill>
            <w14:solidFill>
              <w14:schemeClr w14:val="tx1"/>
            </w14:solidFill>
          </w14:textFill>
        </w:rPr>
        <w:t>问题</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一是摸清影响基础教育均衡</w:t>
      </w:r>
      <w:r>
        <w:rPr>
          <w:rFonts w:hint="eastAsia" w:ascii="仿宋_GB2312" w:eastAsia="仿宋_GB2312"/>
          <w:color w:val="000000" w:themeColor="text1"/>
          <w:sz w:val="32"/>
          <w:szCs w:val="32"/>
          <w14:textFill>
            <w14:solidFill>
              <w14:schemeClr w14:val="tx1"/>
            </w14:solidFill>
          </w14:textFill>
        </w:rPr>
        <w:t>发展</w:t>
      </w:r>
      <w:r>
        <w:rPr>
          <w:rFonts w:ascii="仿宋_GB2312" w:eastAsia="仿宋_GB2312"/>
          <w:color w:val="000000" w:themeColor="text1"/>
          <w:sz w:val="32"/>
          <w:szCs w:val="32"/>
          <w14:textFill>
            <w14:solidFill>
              <w14:schemeClr w14:val="tx1"/>
            </w14:solidFill>
          </w14:textFill>
        </w:rPr>
        <w:t>的因素和发展现状</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包括区公办中小学</w:t>
      </w:r>
      <w:r>
        <w:rPr>
          <w:rFonts w:hint="eastAsia" w:ascii="仿宋_GB2312" w:eastAsia="仿宋_GB2312"/>
          <w:color w:val="000000" w:themeColor="text1"/>
          <w:sz w:val="32"/>
          <w:szCs w:val="32"/>
          <w14:textFill>
            <w14:solidFill>
              <w14:schemeClr w14:val="tx1"/>
            </w14:solidFill>
          </w14:textFill>
        </w:rPr>
        <w:t>、各</w:t>
      </w:r>
      <w:r>
        <w:rPr>
          <w:rFonts w:ascii="仿宋_GB2312" w:eastAsia="仿宋_GB2312"/>
          <w:color w:val="000000" w:themeColor="text1"/>
          <w:sz w:val="32"/>
          <w:szCs w:val="32"/>
          <w14:textFill>
            <w14:solidFill>
              <w14:schemeClr w14:val="tx1"/>
            </w14:solidFill>
          </w14:textFill>
        </w:rPr>
        <w:t>民办中小学等学校在各类教育资源配置方面存在的困难和问题</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尤其是在优化学区分配等方面的问题</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二是结合深圳市</w:t>
      </w:r>
      <w:r>
        <w:rPr>
          <w:rFonts w:hint="eastAsia" w:ascii="仿宋_GB2312" w:eastAsia="仿宋_GB2312"/>
          <w:color w:val="000000" w:themeColor="text1"/>
          <w:sz w:val="32"/>
          <w:szCs w:val="32"/>
          <w14:textFill>
            <w14:solidFill>
              <w14:schemeClr w14:val="tx1"/>
            </w14:solidFill>
          </w14:textFill>
        </w:rPr>
        <w:t>和福田区基础教育发展规划，制定基础教育资源优化配置指标体系，对标</w:t>
      </w:r>
      <w:r>
        <w:rPr>
          <w:rFonts w:hint="eastAsia" w:ascii="仿宋_GB2312" w:eastAsia="仿宋_GB2312"/>
          <w:color w:val="000000" w:themeColor="text1"/>
          <w:sz w:val="32"/>
          <w:szCs w:val="32"/>
          <w:lang w:eastAsia="zh-CN"/>
          <w14:textFill>
            <w14:solidFill>
              <w14:schemeClr w14:val="tx1"/>
            </w14:solidFill>
          </w14:textFill>
        </w:rPr>
        <w:t>国内外先进城区</w:t>
      </w:r>
      <w:bookmarkStart w:id="5" w:name="_GoBack"/>
      <w:bookmarkEnd w:id="5"/>
      <w:r>
        <w:rPr>
          <w:rFonts w:hint="eastAsia" w:ascii="仿宋_GB2312" w:eastAsia="仿宋_GB2312"/>
          <w:color w:val="000000" w:themeColor="text1"/>
          <w:sz w:val="32"/>
          <w:szCs w:val="32"/>
          <w14:textFill>
            <w14:solidFill>
              <w14:schemeClr w14:val="tx1"/>
            </w14:solidFill>
          </w14:textFill>
        </w:rPr>
        <w:t>，分析福田区的优势和存在的短板；三是结合新时代基础教育发展要求和福田区实际情况，提出促进福田区基础教育资源优化配置的对策建议，构建适应和引领基础教育发展的福田教育新体系。</w:t>
      </w:r>
    </w:p>
    <w:p>
      <w:pPr>
        <w:widowControl/>
        <w:spacing w:line="560" w:lineRule="exact"/>
        <w:ind w:firstLine="640" w:firstLineChars="200"/>
        <w:jc w:val="left"/>
        <w:rPr>
          <w:rFonts w:ascii="楷体_GB2312" w:hAnsi="黑体" w:eastAsia="楷体_GB2312"/>
          <w:color w:val="000000" w:themeColor="text1"/>
          <w:sz w:val="32"/>
          <w:szCs w:val="32"/>
          <w14:textFill>
            <w14:solidFill>
              <w14:schemeClr w14:val="tx1"/>
            </w14:solidFill>
          </w14:textFill>
        </w:rPr>
      </w:pPr>
      <w:r>
        <w:rPr>
          <w:rFonts w:ascii="楷体_GB2312" w:hAnsi="黑体" w:eastAsia="楷体_GB2312"/>
          <w:color w:val="000000" w:themeColor="text1"/>
          <w:sz w:val="32"/>
          <w:szCs w:val="32"/>
          <w14:textFill>
            <w14:solidFill>
              <w14:schemeClr w14:val="tx1"/>
            </w14:solidFill>
          </w14:textFill>
        </w:rPr>
        <w:t>11</w:t>
      </w:r>
      <w:r>
        <w:rPr>
          <w:rFonts w:hint="eastAsia" w:ascii="楷体_GB2312" w:hAnsi="黑体" w:eastAsia="楷体_GB2312"/>
          <w:color w:val="000000" w:themeColor="text1"/>
          <w:sz w:val="32"/>
          <w:szCs w:val="32"/>
          <w14:textFill>
            <w14:solidFill>
              <w14:schemeClr w14:val="tx1"/>
            </w14:solidFill>
          </w14:textFill>
        </w:rPr>
        <w:t>.福田区园区（楼宇）“党建标准化+”研究</w:t>
      </w:r>
    </w:p>
    <w:p>
      <w:pPr>
        <w:widowControl/>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园区（楼宇）作为辖区高新企业集聚、高端人才集聚、各类党员集聚的重要阵地已成为福田区党建发展的主战场。近年来，福田区通过发展楼宇精神，探索园区（楼宇）党建标准化等方式，实现了党建引领经济发展的新路径。本课题结合福田区园区（楼宇）党建发展的实际情况，系统梳理和研究园区（楼宇）党建标准化建设过程中集约利用党建阵地、破解园区（楼宇）党员管理教育难题等情况以及园区（楼宇）党建标准化建设过程中遇到的困难和问题，提出新时代园区（楼宇）“党建标准化+”的对策建议。</w:t>
      </w:r>
    </w:p>
    <w:p>
      <w:pPr>
        <w:widowControl/>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课题重点回答以下问题：一是摸清福田区园区（楼宇）党建的基本情况，包括分布情况、标准化建设情况、党员教育管理情况、党建引领作用发挥情况以及党员参与意愿等；二是按照中央和省委、市委、区委关于加强园区党的建设推动产业园区科学发展加快发展的有关要求，结合福田区在园区（楼宇）党建标准化发展现状，分析园区（楼宇）党建标准化发展过程中存在的困难和问题；三是结合福田区七届三次党代会提出的突出贯彻新时代党的建设总要求，围绕“四个中心”目标，探索园区（楼宇）“党建标准化+”工作新思路。</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961742"/>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FA"/>
    <w:rsid w:val="00013DBF"/>
    <w:rsid w:val="00027A37"/>
    <w:rsid w:val="000422ED"/>
    <w:rsid w:val="000472E7"/>
    <w:rsid w:val="00067058"/>
    <w:rsid w:val="00091AE4"/>
    <w:rsid w:val="000A7CCF"/>
    <w:rsid w:val="000F731B"/>
    <w:rsid w:val="001704AA"/>
    <w:rsid w:val="00170B08"/>
    <w:rsid w:val="001914CD"/>
    <w:rsid w:val="001B130D"/>
    <w:rsid w:val="001C5C78"/>
    <w:rsid w:val="001F59DF"/>
    <w:rsid w:val="00207582"/>
    <w:rsid w:val="002155D9"/>
    <w:rsid w:val="00235F26"/>
    <w:rsid w:val="00237E69"/>
    <w:rsid w:val="00245EDE"/>
    <w:rsid w:val="00255E81"/>
    <w:rsid w:val="002B43D2"/>
    <w:rsid w:val="002B6381"/>
    <w:rsid w:val="002E6CAA"/>
    <w:rsid w:val="00313DED"/>
    <w:rsid w:val="00341F59"/>
    <w:rsid w:val="00380788"/>
    <w:rsid w:val="00391D0F"/>
    <w:rsid w:val="003A1AB1"/>
    <w:rsid w:val="003C5AAE"/>
    <w:rsid w:val="003E1B43"/>
    <w:rsid w:val="004C75D4"/>
    <w:rsid w:val="005413AA"/>
    <w:rsid w:val="005A43D7"/>
    <w:rsid w:val="005C1CB6"/>
    <w:rsid w:val="005E64D5"/>
    <w:rsid w:val="00692FB1"/>
    <w:rsid w:val="006B303B"/>
    <w:rsid w:val="006D64AB"/>
    <w:rsid w:val="006F31B8"/>
    <w:rsid w:val="007559A2"/>
    <w:rsid w:val="00762DE5"/>
    <w:rsid w:val="007970FA"/>
    <w:rsid w:val="007C546E"/>
    <w:rsid w:val="008070DB"/>
    <w:rsid w:val="00810D6B"/>
    <w:rsid w:val="0082698C"/>
    <w:rsid w:val="00845419"/>
    <w:rsid w:val="008654F7"/>
    <w:rsid w:val="008741BB"/>
    <w:rsid w:val="00875489"/>
    <w:rsid w:val="0089069D"/>
    <w:rsid w:val="00890A3D"/>
    <w:rsid w:val="008F1582"/>
    <w:rsid w:val="0090601A"/>
    <w:rsid w:val="009202CA"/>
    <w:rsid w:val="00921E0D"/>
    <w:rsid w:val="0093232A"/>
    <w:rsid w:val="00935305"/>
    <w:rsid w:val="00936B53"/>
    <w:rsid w:val="00967EF9"/>
    <w:rsid w:val="009817A8"/>
    <w:rsid w:val="00986EDA"/>
    <w:rsid w:val="009913B0"/>
    <w:rsid w:val="009A0A4B"/>
    <w:rsid w:val="00A72B0B"/>
    <w:rsid w:val="00A87A9D"/>
    <w:rsid w:val="00AA19FB"/>
    <w:rsid w:val="00AA6A68"/>
    <w:rsid w:val="00AD2A10"/>
    <w:rsid w:val="00AE309D"/>
    <w:rsid w:val="00AE4B92"/>
    <w:rsid w:val="00AE7845"/>
    <w:rsid w:val="00AF0EB2"/>
    <w:rsid w:val="00B0694B"/>
    <w:rsid w:val="00B169F4"/>
    <w:rsid w:val="00B76706"/>
    <w:rsid w:val="00B81950"/>
    <w:rsid w:val="00B843BC"/>
    <w:rsid w:val="00BA6AB7"/>
    <w:rsid w:val="00BB1179"/>
    <w:rsid w:val="00BB7CFF"/>
    <w:rsid w:val="00BC1220"/>
    <w:rsid w:val="00BC760C"/>
    <w:rsid w:val="00BD6001"/>
    <w:rsid w:val="00BF5BC8"/>
    <w:rsid w:val="00C06550"/>
    <w:rsid w:val="00C1310D"/>
    <w:rsid w:val="00C262A5"/>
    <w:rsid w:val="00C46484"/>
    <w:rsid w:val="00C779B8"/>
    <w:rsid w:val="00C81E83"/>
    <w:rsid w:val="00C82D35"/>
    <w:rsid w:val="00C8756B"/>
    <w:rsid w:val="00CF4A8C"/>
    <w:rsid w:val="00D164F9"/>
    <w:rsid w:val="00D54293"/>
    <w:rsid w:val="00D5623E"/>
    <w:rsid w:val="00D72C68"/>
    <w:rsid w:val="00DC209B"/>
    <w:rsid w:val="00DC379A"/>
    <w:rsid w:val="00DC5844"/>
    <w:rsid w:val="00E05450"/>
    <w:rsid w:val="00E50C48"/>
    <w:rsid w:val="00E56741"/>
    <w:rsid w:val="00E62C88"/>
    <w:rsid w:val="00E959A8"/>
    <w:rsid w:val="00EB321D"/>
    <w:rsid w:val="00F03645"/>
    <w:rsid w:val="00F47666"/>
    <w:rsid w:val="00F57DBB"/>
    <w:rsid w:val="00F71EF1"/>
    <w:rsid w:val="00F738DC"/>
    <w:rsid w:val="00F85A93"/>
    <w:rsid w:val="00FD0692"/>
    <w:rsid w:val="00FE1581"/>
    <w:rsid w:val="00FF2FD6"/>
    <w:rsid w:val="018232D7"/>
    <w:rsid w:val="052D3AD2"/>
    <w:rsid w:val="05D340AD"/>
    <w:rsid w:val="07A004AA"/>
    <w:rsid w:val="096D6F8C"/>
    <w:rsid w:val="0E8C513A"/>
    <w:rsid w:val="0FC67764"/>
    <w:rsid w:val="0FF56A90"/>
    <w:rsid w:val="102B106E"/>
    <w:rsid w:val="11632ACF"/>
    <w:rsid w:val="12DD3D2C"/>
    <w:rsid w:val="17B74CA5"/>
    <w:rsid w:val="1A364EE1"/>
    <w:rsid w:val="203D3151"/>
    <w:rsid w:val="2445519D"/>
    <w:rsid w:val="25906C34"/>
    <w:rsid w:val="2B04256B"/>
    <w:rsid w:val="2B0D7513"/>
    <w:rsid w:val="2BD37141"/>
    <w:rsid w:val="2C8F5E09"/>
    <w:rsid w:val="2CFE28ED"/>
    <w:rsid w:val="2F6B791B"/>
    <w:rsid w:val="31333F70"/>
    <w:rsid w:val="316151FF"/>
    <w:rsid w:val="34C24129"/>
    <w:rsid w:val="354E5222"/>
    <w:rsid w:val="391844B5"/>
    <w:rsid w:val="3D8811E9"/>
    <w:rsid w:val="41227051"/>
    <w:rsid w:val="42757B82"/>
    <w:rsid w:val="43357C4E"/>
    <w:rsid w:val="4A760543"/>
    <w:rsid w:val="4B7B6963"/>
    <w:rsid w:val="4C9C24C3"/>
    <w:rsid w:val="4CF870F5"/>
    <w:rsid w:val="4E6E3B63"/>
    <w:rsid w:val="510347F8"/>
    <w:rsid w:val="560E70CB"/>
    <w:rsid w:val="5E1B2D88"/>
    <w:rsid w:val="60E50E91"/>
    <w:rsid w:val="62795E63"/>
    <w:rsid w:val="63F50AD9"/>
    <w:rsid w:val="64480799"/>
    <w:rsid w:val="64B114CF"/>
    <w:rsid w:val="65F20125"/>
    <w:rsid w:val="6C665F58"/>
    <w:rsid w:val="70B315FD"/>
    <w:rsid w:val="74BF2A09"/>
    <w:rsid w:val="74BF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Emphasis"/>
    <w:basedOn w:val="5"/>
    <w:qFormat/>
    <w:uiPriority w:val="20"/>
    <w:rPr>
      <w:color w:val="CC0000"/>
    </w:rPr>
  </w:style>
  <w:style w:type="paragraph" w:customStyle="1" w:styleId="9">
    <w:name w:val="列表段落1"/>
    <w:basedOn w:val="1"/>
    <w:qFormat/>
    <w:uiPriority w:val="0"/>
    <w:pPr>
      <w:ind w:firstLine="420" w:firstLineChars="200"/>
    </w:pPr>
    <w:rPr>
      <w:rFonts w:ascii="Calibri" w:hAnsi="Calibri" w:eastAsia="宋体" w:cs="黑体"/>
      <w:szCs w:val="21"/>
    </w:rPr>
  </w:style>
  <w:style w:type="character" w:customStyle="1" w:styleId="10">
    <w:name w:val="页眉 字符"/>
    <w:basedOn w:val="5"/>
    <w:link w:val="4"/>
    <w:qFormat/>
    <w:uiPriority w:val="99"/>
    <w:rPr>
      <w:sz w:val="18"/>
      <w:szCs w:val="18"/>
    </w:rPr>
  </w:style>
  <w:style w:type="character" w:customStyle="1" w:styleId="11">
    <w:name w:val="页脚 字符"/>
    <w:basedOn w:val="5"/>
    <w:link w:val="3"/>
    <w:qFormat/>
    <w:uiPriority w:val="99"/>
    <w:rPr>
      <w:sz w:val="18"/>
      <w:szCs w:val="18"/>
    </w:rPr>
  </w:style>
  <w:style w:type="paragraph" w:customStyle="1" w:styleId="12">
    <w:name w:val="列表段落2"/>
    <w:basedOn w:val="1"/>
    <w:qFormat/>
    <w:uiPriority w:val="99"/>
    <w:pPr>
      <w:ind w:firstLine="420" w:firstLineChars="200"/>
    </w:pPr>
  </w:style>
  <w:style w:type="character" w:customStyle="1" w:styleId="13">
    <w:name w:val="bjh-p"/>
    <w:basedOn w:val="5"/>
    <w:qFormat/>
    <w:uiPriority w:val="0"/>
  </w:style>
  <w:style w:type="character" w:customStyle="1" w:styleId="14">
    <w:name w:val="批注框文本 字符"/>
    <w:basedOn w:val="5"/>
    <w:link w:val="2"/>
    <w:semiHidden/>
    <w:qFormat/>
    <w:uiPriority w:val="99"/>
    <w:rPr>
      <w:kern w:val="2"/>
      <w:sz w:val="18"/>
      <w:szCs w:val="18"/>
    </w:rPr>
  </w:style>
  <w:style w:type="paragraph" w:customStyle="1" w:styleId="15">
    <w:name w:val="列表段落3"/>
    <w:basedOn w:val="1"/>
    <w:qFormat/>
    <w:uiPriority w:val="34"/>
    <w:pPr>
      <w:ind w:firstLine="420" w:firstLineChars="200"/>
    </w:pPr>
  </w:style>
  <w:style w:type="paragraph" w:customStyle="1" w:styleId="16">
    <w:name w:val="Char"/>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866B8-4C21-4564-B78C-43192F5725E3}">
  <ds:schemaRefs/>
</ds:datastoreItem>
</file>

<file path=docProps/app.xml><?xml version="1.0" encoding="utf-8"?>
<Properties xmlns="http://schemas.openxmlformats.org/officeDocument/2006/extended-properties" xmlns:vt="http://schemas.openxmlformats.org/officeDocument/2006/docPropsVTypes">
  <Template>Normal</Template>
  <Pages>11</Pages>
  <Words>925</Words>
  <Characters>5274</Characters>
  <Lines>43</Lines>
  <Paragraphs>12</Paragraphs>
  <ScaleCrop>false</ScaleCrop>
  <LinksUpToDate>false</LinksUpToDate>
  <CharactersWithSpaces>6187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2019-01-21T09:58:00Z</dcterms:created>
  <dc:creator>Hongfeng Pei</dc:creator>
  <cp:lastModifiedBy>张钜龙</cp:lastModifiedBy>
  <cp:lastPrinted>2019-04-16T06:17:55Z</cp:lastPrinted>
  <dcterms:modified xsi:type="dcterms:W3CDTF">2019-04-16T06:20:29Z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