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atLeast"/>
        <w:ind w:firstLine="0" w:firstLineChars="0"/>
        <w:jc w:val="both"/>
        <w:rPr>
          <w:rFonts w:ascii="宋体" w:hAnsi="宋体"/>
          <w:sz w:val="44"/>
          <w:szCs w:val="44"/>
        </w:rPr>
      </w:pPr>
      <w:bookmarkStart w:id="0" w:name="_GoBack"/>
      <w:bookmarkEnd w:id="0"/>
    </w:p>
    <w:p>
      <w:pPr>
        <w:spacing w:line="640" w:lineRule="atLeast"/>
        <w:ind w:firstLine="0" w:firstLineChars="0"/>
        <w:jc w:val="left"/>
        <w:rPr>
          <w:rFonts w:ascii="仿宋_GB2312" w:hAnsi="宋体" w:eastAsia="仿宋_GB2312"/>
          <w:sz w:val="32"/>
          <w:szCs w:val="32"/>
        </w:rPr>
      </w:pPr>
      <w:r>
        <w:rPr>
          <w:rFonts w:hint="eastAsia" w:ascii="仿宋_GB2312" w:hAnsi="宋体" w:eastAsia="仿宋_GB2312"/>
          <w:sz w:val="32"/>
          <w:szCs w:val="32"/>
        </w:rPr>
        <w:t>附件：1</w:t>
      </w:r>
    </w:p>
    <w:p>
      <w:pPr>
        <w:spacing w:line="640" w:lineRule="atLeast"/>
        <w:ind w:firstLine="0" w:firstLineChars="0"/>
        <w:jc w:val="center"/>
        <w:rPr>
          <w:rFonts w:ascii="宋体" w:hAnsi="宋体"/>
          <w:sz w:val="44"/>
          <w:szCs w:val="44"/>
        </w:rPr>
      </w:pPr>
      <w:r>
        <w:rPr>
          <w:rFonts w:hint="eastAsia" w:ascii="宋体" w:hAnsi="宋体"/>
          <w:sz w:val="44"/>
          <w:szCs w:val="44"/>
        </w:rPr>
        <w:t>福田区机关大院车辆出入</w:t>
      </w:r>
    </w:p>
    <w:p>
      <w:pPr>
        <w:spacing w:line="640" w:lineRule="atLeast"/>
        <w:ind w:firstLine="0" w:firstLineChars="0"/>
        <w:jc w:val="center"/>
        <w:rPr>
          <w:rFonts w:ascii="宋体" w:hAnsi="宋体"/>
          <w:sz w:val="44"/>
          <w:szCs w:val="44"/>
        </w:rPr>
      </w:pPr>
      <w:r>
        <w:rPr>
          <w:rFonts w:hint="eastAsia" w:ascii="宋体" w:hAnsi="宋体"/>
          <w:sz w:val="44"/>
          <w:szCs w:val="44"/>
        </w:rPr>
        <w:t>停放管理规定</w:t>
      </w:r>
    </w:p>
    <w:p>
      <w:pPr>
        <w:ind w:firstLine="361" w:firstLineChars="113"/>
        <w:rPr>
          <w:rFonts w:ascii="仿宋_GB2312" w:eastAsia="仿宋_GB2312"/>
          <w:sz w:val="32"/>
          <w:szCs w:val="32"/>
        </w:rPr>
      </w:pPr>
      <w:r>
        <w:rPr>
          <w:rFonts w:hint="eastAsia" w:ascii="仿宋_GB2312" w:eastAsia="仿宋_GB2312"/>
          <w:sz w:val="32"/>
          <w:szCs w:val="32"/>
        </w:rPr>
        <w:t>　　</w:t>
      </w:r>
    </w:p>
    <w:p>
      <w:pPr>
        <w:spacing w:line="560" w:lineRule="exact"/>
        <w:ind w:firstLine="640"/>
        <w:contextualSpacing/>
        <w:jc w:val="left"/>
        <w:rPr>
          <w:rFonts w:ascii="仿宋_GB2312" w:eastAsia="仿宋_GB2312"/>
          <w:sz w:val="32"/>
          <w:szCs w:val="32"/>
        </w:rPr>
      </w:pPr>
      <w:r>
        <w:rPr>
          <w:rFonts w:hint="eastAsia" w:ascii="仿宋_GB2312" w:eastAsia="仿宋_GB2312"/>
          <w:sz w:val="32"/>
          <w:szCs w:val="32"/>
        </w:rPr>
        <w:t>第一章 总则</w:t>
      </w:r>
    </w:p>
    <w:p>
      <w:pPr>
        <w:spacing w:line="560" w:lineRule="exact"/>
        <w:ind w:firstLine="640"/>
        <w:contextualSpacing/>
        <w:jc w:val="left"/>
        <w:rPr>
          <w:rFonts w:ascii="仿宋_GB2312" w:eastAsia="仿宋_GB2312"/>
          <w:sz w:val="32"/>
          <w:szCs w:val="32"/>
        </w:rPr>
      </w:pPr>
      <w:r>
        <w:rPr>
          <w:rFonts w:hint="eastAsia" w:ascii="仿宋_GB2312" w:eastAsia="仿宋_GB2312"/>
          <w:sz w:val="32"/>
          <w:szCs w:val="32"/>
        </w:rPr>
        <w:t>第一条 为规范机关大院车辆出入停放管理，维护机关大院交通秩序，营造机关大院 “安全、有序、文明、和谐”的办公环境，结合大院实际，制定本规定。</w:t>
      </w:r>
    </w:p>
    <w:p>
      <w:pPr>
        <w:spacing w:line="560" w:lineRule="exact"/>
        <w:ind w:firstLine="640"/>
        <w:contextualSpacing/>
        <w:jc w:val="left"/>
        <w:rPr>
          <w:rFonts w:ascii="仿宋_GB2312" w:eastAsia="仿宋_GB2312"/>
          <w:sz w:val="32"/>
          <w:szCs w:val="32"/>
        </w:rPr>
      </w:pPr>
    </w:p>
    <w:p>
      <w:pPr>
        <w:spacing w:line="560" w:lineRule="exact"/>
        <w:ind w:firstLine="640"/>
        <w:contextualSpacing/>
        <w:jc w:val="left"/>
        <w:rPr>
          <w:rFonts w:ascii="仿宋_GB2312" w:eastAsia="仿宋_GB2312"/>
          <w:sz w:val="32"/>
          <w:szCs w:val="32"/>
        </w:rPr>
      </w:pPr>
      <w:r>
        <w:rPr>
          <w:rFonts w:hint="eastAsia" w:ascii="仿宋_GB2312" w:eastAsia="仿宋_GB2312"/>
          <w:sz w:val="32"/>
          <w:szCs w:val="32"/>
        </w:rPr>
        <w:t>第二章 出入管理</w:t>
      </w:r>
    </w:p>
    <w:p>
      <w:pPr>
        <w:spacing w:line="560" w:lineRule="exact"/>
        <w:ind w:firstLine="640"/>
        <w:contextualSpacing/>
        <w:jc w:val="left"/>
        <w:rPr>
          <w:rFonts w:ascii="仿宋_GB2312" w:eastAsia="仿宋_GB2312"/>
          <w:sz w:val="32"/>
          <w:szCs w:val="32"/>
        </w:rPr>
      </w:pPr>
      <w:r>
        <w:rPr>
          <w:rFonts w:hint="eastAsia" w:ascii="仿宋_GB2312" w:eastAsia="仿宋_GB2312"/>
          <w:sz w:val="32"/>
          <w:szCs w:val="32"/>
        </w:rPr>
        <w:t>第二条 事务局保卫科对出入大院车辆严格执行《车辆通行证》制度和车牌识别授权通行、停放制度，机关各部门车辆（含工作人员私家车）凭区事务局发放的《车辆通行证》和系统授权出入机关大院。《车辆通行证》应妥善保管，不得转借，证、车、申领登记应保持一致，通行证遗失或车辆发生变更后，应及时到区事务局申请补办或更换。车辆出入机关大院时须将通行证放在车头醒目位置，供保安人员查验。</w:t>
      </w:r>
    </w:p>
    <w:p>
      <w:pPr>
        <w:spacing w:line="560" w:lineRule="exact"/>
        <w:ind w:firstLine="640"/>
        <w:contextualSpacing/>
        <w:jc w:val="left"/>
        <w:rPr>
          <w:rFonts w:ascii="仿宋_GB2312" w:eastAsia="仿宋_GB2312"/>
          <w:sz w:val="32"/>
          <w:szCs w:val="32"/>
        </w:rPr>
      </w:pPr>
      <w:r>
        <w:rPr>
          <w:rFonts w:hint="eastAsia" w:ascii="仿宋_GB2312" w:eastAsia="仿宋_GB2312"/>
          <w:sz w:val="32"/>
          <w:szCs w:val="32"/>
        </w:rPr>
        <w:t>第三条 持证车辆不得将与工作无关人员、推销人员带入机关大院，严禁携带易燃、易爆、有毒等危险物品进入机关大院。</w:t>
      </w:r>
    </w:p>
    <w:p>
      <w:pPr>
        <w:spacing w:line="560" w:lineRule="exact"/>
        <w:ind w:firstLine="640"/>
        <w:contextualSpacing/>
        <w:jc w:val="left"/>
        <w:rPr>
          <w:rFonts w:ascii="仿宋_GB2312" w:eastAsia="仿宋_GB2312"/>
          <w:sz w:val="32"/>
          <w:szCs w:val="32"/>
        </w:rPr>
      </w:pPr>
      <w:r>
        <w:rPr>
          <w:rFonts w:hint="eastAsia" w:ascii="仿宋_GB2312" w:eastAsia="仿宋_GB2312"/>
          <w:sz w:val="32"/>
          <w:szCs w:val="32"/>
        </w:rPr>
        <w:t>第四条 外来办事车辆可在工作日上午7时至下午6时从大院东门进入机关大院，车主离开车辆应主动预留联系方式，其余时间外来办事车辆禁止进入机关大院。</w:t>
      </w:r>
    </w:p>
    <w:p>
      <w:pPr>
        <w:spacing w:line="560" w:lineRule="exact"/>
        <w:ind w:firstLine="640"/>
        <w:contextualSpacing/>
        <w:jc w:val="left"/>
        <w:rPr>
          <w:rFonts w:ascii="仿宋_GB2312" w:eastAsia="仿宋_GB2312"/>
          <w:sz w:val="32"/>
          <w:szCs w:val="32"/>
        </w:rPr>
      </w:pPr>
      <w:r>
        <w:rPr>
          <w:rFonts w:hint="eastAsia" w:ascii="仿宋_GB2312" w:eastAsia="仿宋_GB2312"/>
          <w:sz w:val="32"/>
          <w:szCs w:val="32"/>
        </w:rPr>
        <w:t>第五条 举办大型活动、召开会议时未办理《车辆通行证》的参会人员车辆，凭活动、会议通知进入，并遵循现场保安人员指引停放。</w:t>
      </w:r>
    </w:p>
    <w:p>
      <w:pPr>
        <w:spacing w:line="560" w:lineRule="exact"/>
        <w:ind w:firstLine="0" w:firstLineChars="0"/>
        <w:contextualSpacing/>
        <w:jc w:val="left"/>
        <w:rPr>
          <w:rFonts w:ascii="仿宋_GB2312" w:eastAsia="仿宋_GB2312"/>
          <w:sz w:val="32"/>
          <w:szCs w:val="32"/>
        </w:rPr>
      </w:pPr>
      <w:r>
        <w:rPr>
          <w:rFonts w:hint="eastAsia" w:ascii="仿宋_GB2312" w:eastAsia="仿宋_GB2312"/>
          <w:sz w:val="32"/>
          <w:szCs w:val="32"/>
        </w:rPr>
        <w:t xml:space="preserve">    第六条 车辆进出机关大院须减速慢行，</w:t>
      </w:r>
      <w:r>
        <w:rPr>
          <w:rFonts w:hint="eastAsia" w:ascii="仿宋_GB2312" w:eastAsia="仿宋_GB2312"/>
          <w:color w:val="000000" w:themeColor="text1"/>
          <w:sz w:val="32"/>
          <w:szCs w:val="32"/>
          <w14:textFill>
            <w14:solidFill>
              <w14:schemeClr w14:val="tx1"/>
            </w14:solidFill>
          </w14:textFill>
        </w:rPr>
        <w:t>禁止鸣喇叭、</w:t>
      </w:r>
      <w:r>
        <w:rPr>
          <w:rFonts w:hint="eastAsia" w:ascii="仿宋_GB2312" w:eastAsia="仿宋_GB2312"/>
          <w:sz w:val="32"/>
          <w:szCs w:val="32"/>
        </w:rPr>
        <w:t>时速不得超过15公里，按交通标志、标线指示行驶。</w:t>
      </w:r>
    </w:p>
    <w:p>
      <w:pPr>
        <w:spacing w:line="560" w:lineRule="exact"/>
        <w:ind w:firstLine="640"/>
        <w:contextualSpacing/>
        <w:jc w:val="left"/>
        <w:rPr>
          <w:rFonts w:ascii="仿宋_GB2312" w:eastAsia="仿宋_GB2312"/>
          <w:sz w:val="32"/>
          <w:szCs w:val="32"/>
        </w:rPr>
      </w:pPr>
      <w:r>
        <w:rPr>
          <w:rFonts w:hint="eastAsia" w:ascii="仿宋_GB2312" w:eastAsia="仿宋_GB2312"/>
          <w:sz w:val="32"/>
          <w:szCs w:val="32"/>
        </w:rPr>
        <w:t>第七条 出入机关大院运载物品的车辆，必须凭相关单位证明及物品清单，经区事务局查验并开具《物品进出通知单》后，方可放行。</w:t>
      </w:r>
    </w:p>
    <w:p>
      <w:pPr>
        <w:spacing w:line="560" w:lineRule="exact"/>
        <w:ind w:firstLine="640"/>
        <w:contextualSpacing/>
        <w:jc w:val="left"/>
        <w:rPr>
          <w:rFonts w:ascii="仿宋_GB2312" w:eastAsia="仿宋_GB2312"/>
          <w:sz w:val="32"/>
          <w:szCs w:val="32"/>
        </w:rPr>
      </w:pPr>
      <w:r>
        <w:rPr>
          <w:rFonts w:hint="eastAsia" w:ascii="仿宋_GB2312" w:eastAsia="仿宋_GB2312"/>
          <w:sz w:val="32"/>
          <w:szCs w:val="32"/>
        </w:rPr>
        <w:t>第八条 大型货车、客车、危险品运输车、出租车不得进入机关大院。</w:t>
      </w:r>
    </w:p>
    <w:p>
      <w:pPr>
        <w:spacing w:line="560" w:lineRule="exact"/>
        <w:ind w:firstLine="640"/>
        <w:contextualSpacing/>
        <w:jc w:val="left"/>
        <w:rPr>
          <w:rFonts w:ascii="仿宋_GB2312" w:eastAsia="仿宋_GB2312"/>
          <w:sz w:val="32"/>
          <w:szCs w:val="32"/>
        </w:rPr>
      </w:pPr>
    </w:p>
    <w:p>
      <w:pPr>
        <w:spacing w:line="560" w:lineRule="exact"/>
        <w:ind w:firstLine="640"/>
        <w:contextualSpacing/>
        <w:jc w:val="left"/>
        <w:rPr>
          <w:rFonts w:ascii="仿宋_GB2312" w:eastAsia="仿宋_GB2312"/>
          <w:sz w:val="32"/>
          <w:szCs w:val="32"/>
        </w:rPr>
      </w:pPr>
      <w:r>
        <w:rPr>
          <w:rFonts w:hint="eastAsia" w:ascii="仿宋_GB2312" w:eastAsia="仿宋_GB2312"/>
          <w:sz w:val="32"/>
          <w:szCs w:val="32"/>
        </w:rPr>
        <w:t>第三章 停放管理</w:t>
      </w:r>
    </w:p>
    <w:p>
      <w:pPr>
        <w:spacing w:line="560" w:lineRule="exact"/>
        <w:ind w:firstLine="640"/>
        <w:contextualSpacing/>
        <w:jc w:val="left"/>
        <w:rPr>
          <w:rFonts w:ascii="仿宋_GB2312" w:eastAsia="仿宋_GB2312"/>
          <w:sz w:val="32"/>
          <w:szCs w:val="32"/>
        </w:rPr>
      </w:pPr>
      <w:r>
        <w:rPr>
          <w:rFonts w:hint="eastAsia" w:ascii="仿宋_GB2312" w:eastAsia="仿宋_GB2312"/>
          <w:sz w:val="32"/>
          <w:szCs w:val="32"/>
        </w:rPr>
        <w:t>第九条 机关大院内各种车辆应按指定的位置停放。自觉接受现场保安人员的引导，在规定区域或指定车位有序停放，一车一位，严禁跨线、线外或占道停车，禁止占用消防通道。</w:t>
      </w:r>
    </w:p>
    <w:p>
      <w:pPr>
        <w:spacing w:line="560" w:lineRule="exact"/>
        <w:ind w:firstLine="640"/>
        <w:contextualSpacing/>
        <w:jc w:val="left"/>
        <w:rPr>
          <w:rFonts w:ascii="仿宋_GB2312" w:eastAsia="仿宋_GB2312"/>
          <w:sz w:val="32"/>
          <w:szCs w:val="32"/>
        </w:rPr>
      </w:pPr>
      <w:r>
        <w:rPr>
          <w:rFonts w:hint="eastAsia" w:ascii="仿宋_GB2312" w:eastAsia="仿宋_GB2312"/>
          <w:sz w:val="32"/>
          <w:szCs w:val="32"/>
        </w:rPr>
        <w:t>第十条 货车在机关大院内装卸过程中，不得堵塞通道。</w:t>
      </w:r>
    </w:p>
    <w:p>
      <w:pPr>
        <w:spacing w:line="560" w:lineRule="exact"/>
        <w:ind w:firstLine="640"/>
        <w:contextualSpacing/>
        <w:jc w:val="left"/>
        <w:rPr>
          <w:rFonts w:ascii="仿宋_GB2312" w:eastAsia="仿宋_GB2312"/>
          <w:sz w:val="32"/>
          <w:szCs w:val="32"/>
        </w:rPr>
      </w:pPr>
      <w:r>
        <w:rPr>
          <w:rFonts w:hint="eastAsia" w:ascii="仿宋_GB2312" w:eastAsia="仿宋_GB2312"/>
          <w:sz w:val="32"/>
          <w:szCs w:val="32"/>
        </w:rPr>
        <w:t>第十一条 加强安全防范意识，车内不存放现金、重要文件、贵重物品，停车后及时锁好门窗，否则，一切后果车主自负。</w:t>
      </w:r>
    </w:p>
    <w:p>
      <w:pPr>
        <w:spacing w:line="560" w:lineRule="exact"/>
        <w:ind w:firstLine="640"/>
        <w:contextualSpacing/>
        <w:jc w:val="left"/>
        <w:rPr>
          <w:rFonts w:ascii="仿宋_GB2312" w:eastAsia="仿宋_GB2312"/>
          <w:sz w:val="32"/>
          <w:szCs w:val="32"/>
        </w:rPr>
      </w:pPr>
      <w:r>
        <w:rPr>
          <w:rFonts w:hint="eastAsia" w:ascii="仿宋_GB2312" w:eastAsia="仿宋_GB2312"/>
          <w:sz w:val="32"/>
          <w:szCs w:val="32"/>
        </w:rPr>
        <w:t>第十二条 非机关公务车辆原则上不得在机关大院内过夜停放，因特殊原因需过夜停放的，须报区事务局同意并办理相关手续后，在指定车位停放，严禁长期过夜停放，否则保安人员可锁车处理。</w:t>
      </w:r>
    </w:p>
    <w:p>
      <w:pPr>
        <w:spacing w:line="560" w:lineRule="exact"/>
        <w:ind w:firstLine="640"/>
        <w:contextualSpacing/>
        <w:jc w:val="left"/>
        <w:rPr>
          <w:rFonts w:ascii="仿宋_GB2312" w:eastAsia="仿宋_GB2312"/>
          <w:sz w:val="32"/>
          <w:szCs w:val="32"/>
        </w:rPr>
      </w:pPr>
      <w:r>
        <w:rPr>
          <w:rFonts w:hint="eastAsia" w:ascii="仿宋_GB2312" w:eastAsia="仿宋_GB2312"/>
          <w:sz w:val="32"/>
          <w:szCs w:val="32"/>
        </w:rPr>
        <w:t>　</w:t>
      </w:r>
    </w:p>
    <w:p>
      <w:pPr>
        <w:spacing w:line="560" w:lineRule="exact"/>
        <w:ind w:firstLine="0" w:firstLineChars="0"/>
        <w:contextualSpacing/>
        <w:jc w:val="left"/>
        <w:rPr>
          <w:rFonts w:ascii="仿宋_GB2312" w:eastAsia="仿宋_GB2312"/>
          <w:sz w:val="32"/>
          <w:szCs w:val="32"/>
        </w:rPr>
      </w:pPr>
      <w:r>
        <w:rPr>
          <w:rFonts w:hint="eastAsia" w:ascii="仿宋_GB2312" w:eastAsia="仿宋_GB2312"/>
          <w:sz w:val="32"/>
          <w:szCs w:val="32"/>
        </w:rPr>
        <w:t xml:space="preserve">    第四章 违规处理</w:t>
      </w:r>
    </w:p>
    <w:p>
      <w:pPr>
        <w:spacing w:line="560" w:lineRule="exact"/>
        <w:ind w:firstLine="640"/>
        <w:contextualSpacing/>
        <w:jc w:val="left"/>
        <w:rPr>
          <w:rFonts w:ascii="仿宋_GB2312" w:eastAsia="仿宋_GB2312"/>
          <w:sz w:val="32"/>
          <w:szCs w:val="32"/>
        </w:rPr>
      </w:pPr>
      <w:r>
        <w:rPr>
          <w:rFonts w:hint="eastAsia" w:ascii="仿宋_GB2312" w:eastAsia="仿宋_GB2312"/>
          <w:sz w:val="32"/>
          <w:szCs w:val="32"/>
        </w:rPr>
        <w:t>第十三条 不按规定乱停乱放的车辆，予以警告并令其立即驶离，驾驶员不在现场或虽在现场但拒不驶离，妨碍其他车辆通行的，保安人员可锁车处理。</w:t>
      </w:r>
    </w:p>
    <w:p>
      <w:pPr>
        <w:spacing w:line="560" w:lineRule="exact"/>
        <w:ind w:firstLine="640"/>
        <w:contextualSpacing/>
        <w:jc w:val="left"/>
        <w:rPr>
          <w:rFonts w:ascii="仿宋_GB2312" w:eastAsia="仿宋_GB2312"/>
          <w:sz w:val="32"/>
          <w:szCs w:val="32"/>
        </w:rPr>
      </w:pPr>
      <w:r>
        <w:rPr>
          <w:rFonts w:hint="eastAsia" w:ascii="仿宋_GB2312" w:eastAsia="仿宋_GB2312"/>
          <w:sz w:val="32"/>
          <w:szCs w:val="32"/>
        </w:rPr>
        <w:t xml:space="preserve">第十四条 机关各部门须加强对车辆、驾驶员管理。对不按规定停放和行驶的车辆且不听劝导的，区事务局保卫科进行记录存档。对违规2次以上的车辆，将以告知书的形式，通报其所在单位；对违规达到3次的内部工作人员车辆，区事务局将相关情况抄报区监察委，系外部人员车辆的将建立黑名单，禁止该车再次进入大院。 </w:t>
      </w:r>
    </w:p>
    <w:p>
      <w:pPr>
        <w:spacing w:line="560" w:lineRule="exact"/>
        <w:ind w:firstLine="0" w:firstLineChars="0"/>
        <w:contextualSpacing/>
        <w:jc w:val="left"/>
        <w:rPr>
          <w:rFonts w:ascii="仿宋_GB2312" w:eastAsia="仿宋_GB2312"/>
          <w:sz w:val="32"/>
          <w:szCs w:val="32"/>
        </w:rPr>
      </w:pPr>
      <w:r>
        <w:rPr>
          <w:rFonts w:hint="eastAsia" w:ascii="仿宋_GB2312" w:eastAsia="仿宋_GB2312"/>
          <w:sz w:val="32"/>
          <w:szCs w:val="32"/>
        </w:rPr>
        <w:t xml:space="preserve">    第十五条 区事务局保卫科工作人员将适时对在机关大院内多次不按规定停放和行驶的车辆拍照，并予以公布。</w:t>
      </w:r>
    </w:p>
    <w:p>
      <w:pPr>
        <w:spacing w:line="560" w:lineRule="exact"/>
        <w:ind w:firstLine="640"/>
        <w:contextualSpacing/>
        <w:jc w:val="left"/>
        <w:rPr>
          <w:rFonts w:ascii="仿宋_GB2312" w:eastAsia="仿宋_GB2312"/>
          <w:sz w:val="32"/>
          <w:szCs w:val="32"/>
        </w:rPr>
      </w:pPr>
      <w:r>
        <w:rPr>
          <w:rFonts w:hint="eastAsia" w:ascii="仿宋_GB2312" w:eastAsia="仿宋_GB2312"/>
          <w:sz w:val="32"/>
          <w:szCs w:val="32"/>
        </w:rPr>
        <w:t>第十六条 外来的电动车、自行车、共享单车不得进入大院，大院内工作人员作为交通工具的自行车进入大院候应按规定停放在指定区域，违规停放的保安人员锁车处理并予以通报。</w:t>
      </w:r>
    </w:p>
    <w:p>
      <w:pPr>
        <w:spacing w:line="560" w:lineRule="exact"/>
        <w:ind w:firstLine="640"/>
        <w:contextualSpacing/>
        <w:jc w:val="left"/>
        <w:rPr>
          <w:rFonts w:ascii="仿宋_GB2312" w:eastAsia="仿宋_GB2312"/>
          <w:sz w:val="32"/>
          <w:szCs w:val="32"/>
        </w:rPr>
      </w:pPr>
      <w:r>
        <w:rPr>
          <w:rFonts w:hint="eastAsia" w:ascii="仿宋_GB2312" w:eastAsia="仿宋_GB2312"/>
          <w:sz w:val="32"/>
          <w:szCs w:val="32"/>
        </w:rPr>
        <w:t>第十七条 进入机关大院的快递配送车辆必须按指定行驶路线、地点停放并尽快分发，分发完毕后随即离开大院，否则保安人员可锁住车辆。</w:t>
      </w:r>
    </w:p>
    <w:p>
      <w:pPr>
        <w:spacing w:line="560" w:lineRule="exact"/>
        <w:ind w:firstLine="640"/>
        <w:contextualSpacing/>
        <w:jc w:val="left"/>
        <w:rPr>
          <w:rFonts w:ascii="仿宋_GB2312" w:eastAsia="仿宋_GB2312"/>
          <w:sz w:val="32"/>
          <w:szCs w:val="32"/>
        </w:rPr>
      </w:pPr>
      <w:r>
        <w:rPr>
          <w:rFonts w:hint="eastAsia" w:ascii="仿宋_GB2312" w:eastAsia="仿宋_GB2312"/>
          <w:sz w:val="32"/>
          <w:szCs w:val="32"/>
        </w:rPr>
        <w:t>第十八条 驾驶员不配合工作、不服从引导或辱骂威胁保安人员，妨碍其正常执勤的，保卫科将调取现场监控予以通报批评；后果严重或造成设施损坏、人员伤亡等的，须赔偿损失，并移交公安部门追究法律责任。</w:t>
      </w:r>
    </w:p>
    <w:p>
      <w:pPr>
        <w:spacing w:line="560" w:lineRule="exact"/>
        <w:ind w:firstLine="640"/>
        <w:contextualSpacing/>
        <w:jc w:val="left"/>
        <w:rPr>
          <w:rFonts w:ascii="仿宋_GB2312" w:eastAsia="仿宋_GB2312"/>
          <w:sz w:val="32"/>
          <w:szCs w:val="32"/>
        </w:rPr>
      </w:pPr>
    </w:p>
    <w:p>
      <w:pPr>
        <w:spacing w:line="560" w:lineRule="exact"/>
        <w:ind w:firstLine="640"/>
        <w:contextualSpacing/>
        <w:jc w:val="left"/>
        <w:rPr>
          <w:rFonts w:ascii="仿宋_GB2312" w:eastAsia="仿宋_GB2312"/>
          <w:sz w:val="32"/>
          <w:szCs w:val="32"/>
        </w:rPr>
      </w:pPr>
      <w:r>
        <w:rPr>
          <w:rFonts w:hint="eastAsia" w:ascii="仿宋_GB2312" w:eastAsia="仿宋_GB2312"/>
          <w:sz w:val="32"/>
          <w:szCs w:val="32"/>
        </w:rPr>
        <w:t>第五章 交通事故处理</w:t>
      </w:r>
    </w:p>
    <w:p>
      <w:pPr>
        <w:spacing w:line="560" w:lineRule="exact"/>
        <w:ind w:firstLine="640"/>
        <w:contextualSpacing/>
        <w:jc w:val="left"/>
        <w:rPr>
          <w:rFonts w:ascii="仿宋_GB2312" w:eastAsia="仿宋_GB2312"/>
          <w:sz w:val="32"/>
          <w:szCs w:val="32"/>
        </w:rPr>
      </w:pPr>
      <w:r>
        <w:rPr>
          <w:rFonts w:hint="eastAsia" w:ascii="仿宋_GB2312" w:eastAsia="仿宋_GB2312"/>
          <w:sz w:val="32"/>
          <w:szCs w:val="32"/>
        </w:rPr>
        <w:t>第一十九条 停车时避免与其它车辆发生碰擦，如有碰擦，应主动与车主或现场保安人员联系，妥善处理。</w:t>
      </w:r>
    </w:p>
    <w:p>
      <w:pPr>
        <w:spacing w:line="560" w:lineRule="exact"/>
        <w:ind w:firstLine="640"/>
        <w:contextualSpacing/>
        <w:jc w:val="left"/>
        <w:rPr>
          <w:rFonts w:ascii="仿宋_GB2312" w:eastAsia="仿宋_GB2312"/>
          <w:sz w:val="32"/>
          <w:szCs w:val="32"/>
        </w:rPr>
      </w:pPr>
      <w:r>
        <w:rPr>
          <w:rFonts w:hint="eastAsia" w:ascii="仿宋_GB2312" w:eastAsia="仿宋_GB2312"/>
          <w:sz w:val="32"/>
          <w:szCs w:val="32"/>
        </w:rPr>
        <w:t>第二十条 区事务局保卫科接到交通事故报警后，应立即派人赶赴现场协调处理，使之尽快恢复通行。</w:t>
      </w:r>
    </w:p>
    <w:p>
      <w:pPr>
        <w:spacing w:line="560" w:lineRule="exact"/>
        <w:ind w:firstLine="640"/>
        <w:contextualSpacing/>
        <w:jc w:val="left"/>
        <w:rPr>
          <w:rFonts w:ascii="仿宋_GB2312" w:eastAsia="仿宋_GB2312"/>
          <w:sz w:val="32"/>
          <w:szCs w:val="32"/>
        </w:rPr>
      </w:pPr>
      <w:r>
        <w:rPr>
          <w:rFonts w:hint="eastAsia" w:ascii="仿宋_GB2312" w:eastAsia="仿宋_GB2312"/>
          <w:sz w:val="32"/>
          <w:szCs w:val="32"/>
        </w:rPr>
        <w:t>第二十一条 机关大院内发生的交通事故、交通纠纷，经保卫科协调未果的报公安交警部门处理。</w:t>
      </w:r>
    </w:p>
    <w:p>
      <w:pPr>
        <w:spacing w:line="560" w:lineRule="exact"/>
        <w:ind w:right="320" w:firstLine="640"/>
        <w:contextualSpacing/>
        <w:jc w:val="left"/>
        <w:rPr>
          <w:rFonts w:ascii="仿宋_GB2312" w:eastAsia="仿宋_GB2312"/>
          <w:sz w:val="32"/>
          <w:szCs w:val="32"/>
        </w:rPr>
      </w:pPr>
    </w:p>
    <w:p>
      <w:pPr>
        <w:spacing w:line="560" w:lineRule="exact"/>
        <w:ind w:right="320" w:firstLine="640"/>
        <w:contextualSpacing/>
        <w:jc w:val="left"/>
        <w:rPr>
          <w:rFonts w:ascii="仿宋_GB2312" w:eastAsia="仿宋_GB2312"/>
          <w:sz w:val="32"/>
          <w:szCs w:val="32"/>
        </w:rPr>
      </w:pPr>
      <w:r>
        <w:rPr>
          <w:rFonts w:hint="eastAsia" w:ascii="仿宋_GB2312" w:eastAsia="仿宋_GB2312"/>
          <w:sz w:val="32"/>
          <w:szCs w:val="32"/>
        </w:rPr>
        <w:t>第六章 附则</w:t>
      </w:r>
    </w:p>
    <w:p>
      <w:pPr>
        <w:spacing w:line="560" w:lineRule="exact"/>
        <w:ind w:firstLine="640"/>
        <w:contextualSpacing/>
        <w:jc w:val="left"/>
        <w:rPr>
          <w:rFonts w:ascii="仿宋_GB2312" w:eastAsia="仿宋_GB2312"/>
          <w:sz w:val="32"/>
          <w:szCs w:val="32"/>
        </w:rPr>
      </w:pPr>
      <w:r>
        <w:rPr>
          <w:rFonts w:hint="eastAsia" w:ascii="仿宋_GB2312" w:eastAsia="仿宋_GB2312"/>
          <w:sz w:val="32"/>
          <w:szCs w:val="32"/>
        </w:rPr>
        <w:t>第二十二条 本规定由区事务局负责解释，自通知下发之日起施行。</w:t>
      </w:r>
    </w:p>
    <w:p>
      <w:pPr>
        <w:spacing w:line="640" w:lineRule="exact"/>
        <w:ind w:firstLine="640"/>
        <w:contextualSpacing/>
        <w:jc w:val="left"/>
        <w:rPr>
          <w:rFonts w:ascii="仿宋_GB2312" w:eastAsia="仿宋_GB2312"/>
          <w:sz w:val="32"/>
          <w:szCs w:val="32"/>
        </w:rPr>
      </w:pPr>
    </w:p>
    <w:p>
      <w:pPr>
        <w:spacing w:line="640" w:lineRule="exact"/>
        <w:ind w:firstLine="640"/>
        <w:contextualSpacing/>
        <w:jc w:val="left"/>
        <w:rPr>
          <w:rFonts w:ascii="仿宋_GB2312" w:eastAsia="仿宋_GB2312"/>
          <w:sz w:val="32"/>
          <w:szCs w:val="32"/>
        </w:rPr>
      </w:pPr>
    </w:p>
    <w:p>
      <w:pPr>
        <w:spacing w:line="640" w:lineRule="exact"/>
        <w:ind w:firstLine="0" w:firstLineChars="0"/>
        <w:contextualSpacing/>
        <w:jc w:val="left"/>
        <w:rPr>
          <w:rFonts w:ascii="仿宋_GB2312" w:eastAsia="仿宋_GB2312"/>
          <w:sz w:val="32"/>
          <w:szCs w:val="32"/>
        </w:rPr>
      </w:pPr>
      <w:r>
        <w:rPr>
          <w:rFonts w:hint="eastAsia" w:ascii="仿宋_GB2312" w:eastAsia="仿宋_GB2312"/>
          <w:sz w:val="32"/>
          <w:szCs w:val="32"/>
        </w:rPr>
        <w:t>附件：2</w:t>
      </w:r>
    </w:p>
    <w:p>
      <w:pPr>
        <w:spacing w:line="640" w:lineRule="exact"/>
        <w:ind w:firstLine="883"/>
        <w:contextualSpacing/>
        <w:jc w:val="center"/>
        <w:rPr>
          <w:rFonts w:ascii="仿宋_GB2312" w:eastAsia="仿宋_GB2312"/>
          <w:b/>
          <w:sz w:val="44"/>
          <w:szCs w:val="44"/>
        </w:rPr>
      </w:pPr>
      <w:r>
        <w:rPr>
          <w:rFonts w:hint="eastAsia" w:ascii="仿宋_GB2312" w:eastAsia="仿宋_GB2312"/>
          <w:b/>
          <w:sz w:val="44"/>
          <w:szCs w:val="44"/>
        </w:rPr>
        <w:t>告知书</w:t>
      </w:r>
    </w:p>
    <w:p>
      <w:pPr>
        <w:spacing w:line="640" w:lineRule="exact"/>
        <w:ind w:firstLine="880"/>
        <w:contextualSpacing/>
        <w:jc w:val="center"/>
        <w:rPr>
          <w:rFonts w:ascii="仿宋_GB2312" w:eastAsia="仿宋_GB2312"/>
          <w:sz w:val="44"/>
          <w:szCs w:val="44"/>
        </w:rPr>
      </w:pPr>
    </w:p>
    <w:p>
      <w:pPr>
        <w:spacing w:line="560" w:lineRule="exact"/>
        <w:ind w:firstLine="640"/>
        <w:contextualSpacing/>
        <w:jc w:val="left"/>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spacing w:line="560" w:lineRule="exact"/>
        <w:ind w:firstLine="640"/>
        <w:contextualSpacing/>
        <w:jc w:val="left"/>
        <w:rPr>
          <w:rFonts w:ascii="仿宋_GB2312" w:eastAsia="仿宋_GB2312"/>
          <w:sz w:val="32"/>
          <w:szCs w:val="32"/>
        </w:rPr>
      </w:pPr>
      <w:r>
        <w:rPr>
          <w:rFonts w:hint="eastAsia" w:ascii="仿宋_GB2312" w:eastAsia="仿宋_GB2312"/>
          <w:sz w:val="32"/>
          <w:szCs w:val="32"/>
        </w:rPr>
        <w:t>你单位</w:t>
      </w:r>
      <w:r>
        <w:rPr>
          <w:rFonts w:hint="eastAsia" w:ascii="仿宋_GB2312" w:eastAsia="仿宋_GB2312"/>
          <w:sz w:val="32"/>
          <w:szCs w:val="32"/>
          <w:u w:val="single"/>
        </w:rPr>
        <w:t xml:space="preserve">          </w:t>
      </w:r>
      <w:r>
        <w:rPr>
          <w:rFonts w:hint="eastAsia" w:ascii="仿宋_GB2312" w:eastAsia="仿宋_GB2312"/>
          <w:sz w:val="32"/>
          <w:szCs w:val="32"/>
        </w:rPr>
        <w:t>于</w:t>
      </w:r>
      <w:r>
        <w:rPr>
          <w:rFonts w:hint="eastAsia" w:ascii="仿宋_GB2312" w:eastAsia="仿宋_GB2312"/>
          <w:sz w:val="32"/>
          <w:szCs w:val="32"/>
          <w:u w:val="single"/>
        </w:rPr>
        <w:t xml:space="preserve">         </w:t>
      </w:r>
      <w:r>
        <w:rPr>
          <w:rFonts w:hint="eastAsia" w:ascii="仿宋_GB2312" w:eastAsia="仿宋_GB2312"/>
          <w:sz w:val="32"/>
          <w:szCs w:val="32"/>
        </w:rPr>
        <w:t xml:space="preserve">在 </w:t>
      </w:r>
      <w:r>
        <w:rPr>
          <w:rFonts w:hint="eastAsia" w:ascii="仿宋_GB2312" w:eastAsia="仿宋_GB2312"/>
          <w:sz w:val="32"/>
          <w:szCs w:val="32"/>
          <w:u w:val="single"/>
        </w:rPr>
        <w:t xml:space="preserve">             </w:t>
      </w:r>
      <w:r>
        <w:rPr>
          <w:rFonts w:hint="eastAsia" w:ascii="仿宋_GB2312" w:eastAsia="仿宋_GB2312"/>
          <w:sz w:val="32"/>
          <w:szCs w:val="32"/>
        </w:rPr>
        <w:t>，</w:t>
      </w:r>
    </w:p>
    <w:p>
      <w:pPr>
        <w:spacing w:line="560" w:lineRule="exact"/>
        <w:ind w:firstLine="640"/>
        <w:jc w:val="left"/>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。违反了《福</w:t>
      </w:r>
      <w:r>
        <w:rPr>
          <w:rFonts w:hint="eastAsia" w:ascii="仿宋_GB2312" w:hAnsi="宋体" w:eastAsia="仿宋_GB2312"/>
          <w:sz w:val="32"/>
          <w:szCs w:val="32"/>
        </w:rPr>
        <w:t>田区机关大院车辆出入停放管理规定</w:t>
      </w:r>
      <w:r>
        <w:rPr>
          <w:rFonts w:hint="eastAsia" w:ascii="仿宋_GB2312" w:eastAsia="仿宋_GB2312"/>
          <w:sz w:val="32"/>
          <w:szCs w:val="32"/>
        </w:rPr>
        <w:t>》，请你单位加强管理、教育，如再次违反，将抄报区监察委。</w:t>
      </w:r>
    </w:p>
    <w:p>
      <w:pPr>
        <w:spacing w:line="560" w:lineRule="exact"/>
        <w:ind w:firstLine="640"/>
        <w:jc w:val="left"/>
        <w:rPr>
          <w:rFonts w:ascii="仿宋_GB2312" w:eastAsia="仿宋_GB2312"/>
          <w:sz w:val="32"/>
          <w:szCs w:val="32"/>
        </w:rPr>
      </w:pPr>
    </w:p>
    <w:p>
      <w:pPr>
        <w:spacing w:line="560" w:lineRule="exact"/>
        <w:ind w:firstLine="640"/>
        <w:jc w:val="left"/>
        <w:rPr>
          <w:rFonts w:ascii="仿宋_GB2312" w:eastAsia="仿宋_GB2312"/>
          <w:sz w:val="32"/>
          <w:szCs w:val="32"/>
        </w:rPr>
      </w:pPr>
      <w:r>
        <w:rPr>
          <w:rFonts w:hint="eastAsia" w:ascii="仿宋_GB2312" w:eastAsia="仿宋_GB2312"/>
          <w:sz w:val="32"/>
          <w:szCs w:val="32"/>
        </w:rPr>
        <w:t xml:space="preserve">                             区机关事务局保卫科</w:t>
      </w:r>
    </w:p>
    <w:p>
      <w:pPr>
        <w:spacing w:line="560" w:lineRule="exact"/>
        <w:ind w:firstLine="640"/>
        <w:jc w:val="center"/>
        <w:rPr>
          <w:rFonts w:ascii="仿宋_GB2312" w:eastAsia="仿宋_GB2312"/>
          <w:sz w:val="32"/>
          <w:szCs w:val="32"/>
        </w:rPr>
      </w:pPr>
      <w:r>
        <w:rPr>
          <w:rFonts w:hint="eastAsia" w:ascii="仿宋_GB2312" w:eastAsia="仿宋_GB2312"/>
          <w:sz w:val="32"/>
          <w:szCs w:val="32"/>
        </w:rPr>
        <w:t xml:space="preserve">                         年   月   日</w:t>
      </w:r>
    </w:p>
    <w:p>
      <w:pPr>
        <w:spacing w:line="560" w:lineRule="exact"/>
        <w:ind w:firstLine="640"/>
        <w:jc w:val="left"/>
        <w:rPr>
          <w:rFonts w:ascii="仿宋_GB2312" w:eastAsia="仿宋_GB2312"/>
          <w:sz w:val="32"/>
          <w:szCs w:val="32"/>
        </w:rPr>
      </w:pPr>
    </w:p>
    <w:p>
      <w:pPr>
        <w:spacing w:line="560" w:lineRule="exact"/>
        <w:ind w:firstLine="640"/>
        <w:jc w:val="left"/>
        <w:rPr>
          <w:rFonts w:ascii="仿宋_GB2312" w:eastAsia="仿宋_GB2312"/>
          <w:sz w:val="32"/>
          <w:szCs w:val="32"/>
        </w:rPr>
      </w:pPr>
    </w:p>
    <w:p>
      <w:pPr>
        <w:spacing w:line="560" w:lineRule="exact"/>
        <w:ind w:firstLine="0" w:firstLineChars="0"/>
        <w:jc w:val="left"/>
        <w:rPr>
          <w:rFonts w:ascii="仿宋_GB2312" w:eastAsia="仿宋_GB2312"/>
          <w:sz w:val="32"/>
          <w:szCs w:val="32"/>
        </w:rPr>
      </w:pPr>
      <w:r>
        <w:rPr>
          <w:rFonts w:hint="eastAsia" w:ascii="仿宋_GB2312" w:eastAsia="仿宋_GB2312"/>
          <w:sz w:val="32"/>
          <w:szCs w:val="32"/>
        </w:rPr>
        <w:t>附件：3</w:t>
      </w:r>
    </w:p>
    <w:p>
      <w:pPr>
        <w:spacing w:line="240" w:lineRule="exact"/>
        <w:ind w:firstLine="0" w:firstLineChars="0"/>
        <w:jc w:val="center"/>
        <w:rPr>
          <w:rFonts w:ascii="仿宋_GB2312" w:eastAsia="仿宋_GB2312"/>
          <w:sz w:val="32"/>
          <w:szCs w:val="32"/>
        </w:rPr>
      </w:pPr>
    </w:p>
    <w:p>
      <w:pPr>
        <w:spacing w:line="560" w:lineRule="exact"/>
        <w:ind w:firstLine="0" w:firstLineChars="0"/>
        <w:jc w:val="center"/>
        <w:rPr>
          <w:rFonts w:asciiTheme="minorEastAsia" w:hAnsiTheme="minorEastAsia"/>
          <w:b/>
          <w:sz w:val="44"/>
          <w:szCs w:val="44"/>
        </w:rPr>
      </w:pPr>
      <w:r>
        <w:rPr>
          <w:rFonts w:hint="eastAsia" w:asciiTheme="minorEastAsia" w:hAnsiTheme="minorEastAsia"/>
          <w:b/>
          <w:sz w:val="44"/>
          <w:szCs w:val="44"/>
        </w:rPr>
        <w:t>福田区机关大院过夜停放报备表</w:t>
      </w:r>
    </w:p>
    <w:p>
      <w:pPr>
        <w:spacing w:line="560" w:lineRule="exact"/>
        <w:ind w:firstLine="640"/>
        <w:jc w:val="center"/>
        <w:rPr>
          <w:rFonts w:asciiTheme="minorEastAsia" w:hAnsiTheme="minorEastAsia"/>
          <w:b/>
          <w:sz w:val="28"/>
          <w:szCs w:val="28"/>
        </w:rPr>
      </w:pPr>
      <w:r>
        <w:rPr>
          <w:rFonts w:hint="eastAsia" w:ascii="仿宋_GB2312" w:hAnsi="仿宋" w:eastAsia="仿宋_GB2312"/>
          <w:sz w:val="32"/>
          <w:szCs w:val="32"/>
        </w:rPr>
        <w:t xml:space="preserve">                           </w:t>
      </w:r>
      <w:r>
        <w:rPr>
          <w:rFonts w:hint="eastAsia" w:ascii="仿宋_GB2312" w:hAnsi="仿宋" w:eastAsia="仿宋_GB2312"/>
          <w:sz w:val="28"/>
          <w:szCs w:val="28"/>
        </w:rPr>
        <w:t xml:space="preserve">填表时间：   年  月  日 </w:t>
      </w:r>
    </w:p>
    <w:tbl>
      <w:tblPr>
        <w:tblStyle w:val="7"/>
        <w:tblW w:w="8505" w:type="dxa"/>
        <w:jc w:val="center"/>
        <w:tblInd w:w="0" w:type="dxa"/>
        <w:tblLayout w:type="fixed"/>
        <w:tblCellMar>
          <w:top w:w="0" w:type="dxa"/>
          <w:left w:w="108" w:type="dxa"/>
          <w:bottom w:w="0" w:type="dxa"/>
          <w:right w:w="108" w:type="dxa"/>
        </w:tblCellMar>
      </w:tblPr>
      <w:tblGrid>
        <w:gridCol w:w="1865"/>
        <w:gridCol w:w="2923"/>
        <w:gridCol w:w="1355"/>
        <w:gridCol w:w="2362"/>
      </w:tblGrid>
      <w:tr>
        <w:tblPrEx>
          <w:tblLayout w:type="fixed"/>
          <w:tblCellMar>
            <w:top w:w="0" w:type="dxa"/>
            <w:left w:w="108" w:type="dxa"/>
            <w:bottom w:w="0" w:type="dxa"/>
            <w:right w:w="108" w:type="dxa"/>
          </w:tblCellMar>
        </w:tblPrEx>
        <w:trPr>
          <w:trHeight w:val="1197" w:hRule="atLeast"/>
          <w:jc w:val="center"/>
        </w:trPr>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申请单位</w:t>
            </w:r>
          </w:p>
        </w:tc>
        <w:tc>
          <w:tcPr>
            <w:tcW w:w="6640"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Calibri" w:hAnsi="Calibri" w:eastAsia="宋体" w:cs="宋体"/>
                <w:color w:val="000000"/>
                <w:kern w:val="0"/>
                <w:szCs w:val="21"/>
              </w:rPr>
            </w:pPr>
            <w:r>
              <w:rPr>
                <w:rFonts w:ascii="Calibri" w:hAnsi="Calibri" w:eastAsia="宋体" w:cs="宋体"/>
                <w:color w:val="000000"/>
                <w:kern w:val="0"/>
                <w:szCs w:val="21"/>
              </w:rPr>
              <w:t>　</w:t>
            </w:r>
          </w:p>
        </w:tc>
      </w:tr>
      <w:tr>
        <w:tblPrEx>
          <w:tblLayout w:type="fixed"/>
          <w:tblCellMar>
            <w:top w:w="0" w:type="dxa"/>
            <w:left w:w="108" w:type="dxa"/>
            <w:bottom w:w="0" w:type="dxa"/>
            <w:right w:w="108" w:type="dxa"/>
          </w:tblCellMar>
        </w:tblPrEx>
        <w:trPr>
          <w:trHeight w:val="1017" w:hRule="atLeast"/>
          <w:jc w:val="center"/>
        </w:trPr>
        <w:tc>
          <w:tcPr>
            <w:tcW w:w="186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车牌         </w:t>
            </w:r>
          </w:p>
        </w:tc>
        <w:tc>
          <w:tcPr>
            <w:tcW w:w="292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Calibri" w:hAnsi="Calibri" w:eastAsia="宋体" w:cs="宋体"/>
                <w:color w:val="000000"/>
                <w:kern w:val="0"/>
                <w:szCs w:val="21"/>
              </w:rPr>
            </w:pPr>
            <w:r>
              <w:rPr>
                <w:rFonts w:ascii="Calibri" w:hAnsi="Calibri" w:eastAsia="宋体" w:cs="宋体"/>
                <w:color w:val="000000"/>
                <w:kern w:val="0"/>
                <w:szCs w:val="21"/>
              </w:rPr>
              <w:t>　</w:t>
            </w:r>
          </w:p>
        </w:tc>
        <w:tc>
          <w:tcPr>
            <w:tcW w:w="13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申请人</w:t>
            </w:r>
          </w:p>
        </w:tc>
        <w:tc>
          <w:tcPr>
            <w:tcW w:w="236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Calibri" w:hAnsi="Calibri" w:eastAsia="宋体" w:cs="宋体"/>
                <w:color w:val="000000"/>
                <w:kern w:val="0"/>
                <w:szCs w:val="21"/>
              </w:rPr>
            </w:pPr>
            <w:r>
              <w:rPr>
                <w:rFonts w:ascii="Calibri" w:hAnsi="Calibri" w:eastAsia="宋体" w:cs="宋体"/>
                <w:color w:val="000000"/>
                <w:kern w:val="0"/>
                <w:szCs w:val="21"/>
              </w:rPr>
              <w:t>　</w:t>
            </w:r>
          </w:p>
        </w:tc>
      </w:tr>
      <w:tr>
        <w:tblPrEx>
          <w:tblLayout w:type="fixed"/>
          <w:tblCellMar>
            <w:top w:w="0" w:type="dxa"/>
            <w:left w:w="108" w:type="dxa"/>
            <w:bottom w:w="0" w:type="dxa"/>
            <w:right w:w="108" w:type="dxa"/>
          </w:tblCellMar>
        </w:tblPrEx>
        <w:trPr>
          <w:trHeight w:val="1305" w:hRule="atLeast"/>
          <w:jc w:val="center"/>
        </w:trPr>
        <w:tc>
          <w:tcPr>
            <w:tcW w:w="186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事由</w:t>
            </w:r>
          </w:p>
        </w:tc>
        <w:tc>
          <w:tcPr>
            <w:tcW w:w="6640"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Calibri" w:hAnsi="Calibri" w:eastAsia="宋体" w:cs="宋体"/>
                <w:color w:val="000000"/>
                <w:kern w:val="0"/>
                <w:szCs w:val="21"/>
              </w:rPr>
            </w:pPr>
            <w:r>
              <w:rPr>
                <w:rFonts w:ascii="Calibri" w:hAnsi="Calibri" w:eastAsia="宋体" w:cs="宋体"/>
                <w:color w:val="000000"/>
                <w:kern w:val="0"/>
                <w:szCs w:val="21"/>
              </w:rPr>
              <w:t>　</w:t>
            </w:r>
          </w:p>
        </w:tc>
      </w:tr>
      <w:tr>
        <w:tblPrEx>
          <w:tblLayout w:type="fixed"/>
          <w:tblCellMar>
            <w:top w:w="0" w:type="dxa"/>
            <w:left w:w="108" w:type="dxa"/>
            <w:bottom w:w="0" w:type="dxa"/>
            <w:right w:w="108" w:type="dxa"/>
          </w:tblCellMar>
        </w:tblPrEx>
        <w:trPr>
          <w:trHeight w:val="1305" w:hRule="atLeast"/>
          <w:jc w:val="center"/>
        </w:trPr>
        <w:tc>
          <w:tcPr>
            <w:tcW w:w="186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停放时间段        </w:t>
            </w:r>
          </w:p>
        </w:tc>
        <w:tc>
          <w:tcPr>
            <w:tcW w:w="6640"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月  日  时至  月  日  时</w:t>
            </w:r>
          </w:p>
        </w:tc>
      </w:tr>
      <w:tr>
        <w:tblPrEx>
          <w:tblLayout w:type="fixed"/>
          <w:tblCellMar>
            <w:top w:w="0" w:type="dxa"/>
            <w:left w:w="108" w:type="dxa"/>
            <w:bottom w:w="0" w:type="dxa"/>
            <w:right w:w="108" w:type="dxa"/>
          </w:tblCellMar>
        </w:tblPrEx>
        <w:trPr>
          <w:trHeight w:val="1305" w:hRule="atLeast"/>
          <w:jc w:val="center"/>
        </w:trPr>
        <w:tc>
          <w:tcPr>
            <w:tcW w:w="186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单位           意见</w:t>
            </w:r>
          </w:p>
        </w:tc>
        <w:tc>
          <w:tcPr>
            <w:tcW w:w="6640"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Calibri" w:hAnsi="Calibri" w:eastAsia="宋体" w:cs="宋体"/>
                <w:color w:val="000000"/>
                <w:kern w:val="0"/>
                <w:szCs w:val="21"/>
              </w:rPr>
            </w:pPr>
            <w:r>
              <w:rPr>
                <w:rFonts w:ascii="Calibri" w:hAnsi="Calibri" w:eastAsia="宋体" w:cs="宋体"/>
                <w:color w:val="000000"/>
                <w:kern w:val="0"/>
                <w:szCs w:val="21"/>
              </w:rPr>
              <w:t>　</w:t>
            </w:r>
          </w:p>
        </w:tc>
      </w:tr>
      <w:tr>
        <w:tblPrEx>
          <w:tblLayout w:type="fixed"/>
          <w:tblCellMar>
            <w:top w:w="0" w:type="dxa"/>
            <w:left w:w="108" w:type="dxa"/>
            <w:bottom w:w="0" w:type="dxa"/>
            <w:right w:w="108" w:type="dxa"/>
          </w:tblCellMar>
        </w:tblPrEx>
        <w:trPr>
          <w:trHeight w:val="2279" w:hRule="atLeast"/>
          <w:jc w:val="center"/>
        </w:trPr>
        <w:tc>
          <w:tcPr>
            <w:tcW w:w="186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保卫科       审核</w:t>
            </w:r>
          </w:p>
        </w:tc>
        <w:tc>
          <w:tcPr>
            <w:tcW w:w="6640"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Calibri" w:hAnsi="Calibri" w:eastAsia="宋体" w:cs="宋体"/>
                <w:color w:val="000000"/>
                <w:kern w:val="0"/>
                <w:szCs w:val="21"/>
              </w:rPr>
            </w:pPr>
            <w:r>
              <w:rPr>
                <w:rFonts w:ascii="Calibri" w:hAnsi="Calibri" w:eastAsia="宋体" w:cs="宋体"/>
                <w:color w:val="000000"/>
                <w:kern w:val="0"/>
                <w:szCs w:val="21"/>
              </w:rPr>
              <w:t>　</w:t>
            </w:r>
          </w:p>
        </w:tc>
      </w:tr>
      <w:tr>
        <w:tblPrEx>
          <w:tblLayout w:type="fixed"/>
          <w:tblCellMar>
            <w:top w:w="0" w:type="dxa"/>
            <w:left w:w="108" w:type="dxa"/>
            <w:bottom w:w="0" w:type="dxa"/>
            <w:right w:w="108" w:type="dxa"/>
          </w:tblCellMar>
        </w:tblPrEx>
        <w:trPr>
          <w:trHeight w:val="2257" w:hRule="atLeast"/>
          <w:jc w:val="center"/>
        </w:trPr>
        <w:tc>
          <w:tcPr>
            <w:tcW w:w="8505" w:type="dxa"/>
            <w:gridSpan w:val="4"/>
            <w:tcBorders>
              <w:top w:val="nil"/>
              <w:left w:val="single" w:color="auto" w:sz="4" w:space="0"/>
              <w:bottom w:val="single" w:color="auto" w:sz="4" w:space="0"/>
              <w:right w:val="single" w:color="auto" w:sz="4" w:space="0"/>
            </w:tcBorders>
            <w:shd w:val="clear" w:color="auto" w:fill="auto"/>
          </w:tcPr>
          <w:p>
            <w:pPr>
              <w:widowControl/>
              <w:spacing w:line="240" w:lineRule="auto"/>
              <w:ind w:firstLine="0" w:firstLineChars="0"/>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30"/>
                <w:szCs w:val="30"/>
              </w:rPr>
              <w:t>遵守事项</w:t>
            </w:r>
            <w:r>
              <w:rPr>
                <w:rFonts w:hint="eastAsia" w:ascii="仿宋_GB2312" w:hAnsi="宋体" w:eastAsia="仿宋_GB2312" w:cs="宋体"/>
                <w:b/>
                <w:color w:val="000000"/>
                <w:kern w:val="0"/>
                <w:sz w:val="32"/>
                <w:szCs w:val="32"/>
              </w:rPr>
              <w:t>：</w:t>
            </w:r>
            <w:r>
              <w:rPr>
                <w:rFonts w:hint="eastAsia" w:ascii="仿宋_GB2312" w:hAnsi="宋体" w:eastAsia="仿宋_GB2312" w:cs="宋体"/>
                <w:color w:val="000000"/>
                <w:kern w:val="0"/>
                <w:sz w:val="28"/>
                <w:szCs w:val="28"/>
              </w:rPr>
              <w:t>1、经审验登记后的车辆由保安员引导在指定区域有序停放；2、停车后锁好门窗和防盗系统，检查车辆安全，严禁在车内存放各种贵重物品；3、严禁携带易燃易爆物品停车。</w:t>
            </w:r>
          </w:p>
        </w:tc>
      </w:tr>
    </w:tbl>
    <w:p>
      <w:pPr>
        <w:spacing w:line="560" w:lineRule="exact"/>
        <w:ind w:left="0" w:leftChars="0" w:firstLine="0" w:firstLineChars="0"/>
        <w:jc w:val="left"/>
        <w:rPr>
          <w:rFonts w:ascii="仿宋_GB2312" w:eastAsia="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814" w:right="1474" w:bottom="153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方正大标宋简体">
    <w:altName w:val="宋体"/>
    <w:panose1 w:val="03000509000000000000"/>
    <w:charset w:val="86"/>
    <w:family w:val="script"/>
    <w:pitch w:val="default"/>
    <w:sig w:usb0="00000000" w:usb1="00000000" w:usb2="00000000" w:usb3="00000000" w:csb0="00040000" w:csb1="00000000"/>
  </w:font>
  <w:font w:name="方正小标宋简体">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5D0"/>
    <w:rsid w:val="00001846"/>
    <w:rsid w:val="000118DB"/>
    <w:rsid w:val="000137E3"/>
    <w:rsid w:val="000168FA"/>
    <w:rsid w:val="0002181D"/>
    <w:rsid w:val="00022644"/>
    <w:rsid w:val="00035885"/>
    <w:rsid w:val="00042FAF"/>
    <w:rsid w:val="00047740"/>
    <w:rsid w:val="00052293"/>
    <w:rsid w:val="00057A75"/>
    <w:rsid w:val="0006041A"/>
    <w:rsid w:val="00065FD6"/>
    <w:rsid w:val="000804C5"/>
    <w:rsid w:val="000810BA"/>
    <w:rsid w:val="000C489E"/>
    <w:rsid w:val="000C4E17"/>
    <w:rsid w:val="000D354C"/>
    <w:rsid w:val="000F00BD"/>
    <w:rsid w:val="000F1E45"/>
    <w:rsid w:val="00107F49"/>
    <w:rsid w:val="00120202"/>
    <w:rsid w:val="0014130A"/>
    <w:rsid w:val="001422A6"/>
    <w:rsid w:val="00145A65"/>
    <w:rsid w:val="00151936"/>
    <w:rsid w:val="00155D92"/>
    <w:rsid w:val="001568E2"/>
    <w:rsid w:val="00180145"/>
    <w:rsid w:val="00195FC7"/>
    <w:rsid w:val="0019663D"/>
    <w:rsid w:val="001A39FF"/>
    <w:rsid w:val="001A3BEA"/>
    <w:rsid w:val="001A63C8"/>
    <w:rsid w:val="001B7BD4"/>
    <w:rsid w:val="001D325A"/>
    <w:rsid w:val="001E362C"/>
    <w:rsid w:val="002075E3"/>
    <w:rsid w:val="00217E74"/>
    <w:rsid w:val="00224936"/>
    <w:rsid w:val="0023339F"/>
    <w:rsid w:val="00266327"/>
    <w:rsid w:val="00267476"/>
    <w:rsid w:val="002857DA"/>
    <w:rsid w:val="002B771E"/>
    <w:rsid w:val="002C520E"/>
    <w:rsid w:val="003154B5"/>
    <w:rsid w:val="00325413"/>
    <w:rsid w:val="003308B3"/>
    <w:rsid w:val="003310ED"/>
    <w:rsid w:val="003632C5"/>
    <w:rsid w:val="0039671F"/>
    <w:rsid w:val="003A41BE"/>
    <w:rsid w:val="003A530D"/>
    <w:rsid w:val="003C3A5E"/>
    <w:rsid w:val="004275F2"/>
    <w:rsid w:val="00430472"/>
    <w:rsid w:val="0049055C"/>
    <w:rsid w:val="004C39FA"/>
    <w:rsid w:val="004F44CF"/>
    <w:rsid w:val="00502C54"/>
    <w:rsid w:val="00510CF3"/>
    <w:rsid w:val="00531816"/>
    <w:rsid w:val="00535F47"/>
    <w:rsid w:val="00537078"/>
    <w:rsid w:val="00547A55"/>
    <w:rsid w:val="0056539C"/>
    <w:rsid w:val="00582562"/>
    <w:rsid w:val="00591261"/>
    <w:rsid w:val="005B4E4D"/>
    <w:rsid w:val="005C25D0"/>
    <w:rsid w:val="005D2E77"/>
    <w:rsid w:val="005D36CB"/>
    <w:rsid w:val="005E2C94"/>
    <w:rsid w:val="005F6AF4"/>
    <w:rsid w:val="00602F30"/>
    <w:rsid w:val="0062275F"/>
    <w:rsid w:val="00644A0B"/>
    <w:rsid w:val="00664B29"/>
    <w:rsid w:val="006827D8"/>
    <w:rsid w:val="00683F8E"/>
    <w:rsid w:val="006845F3"/>
    <w:rsid w:val="006C61A3"/>
    <w:rsid w:val="006C6837"/>
    <w:rsid w:val="006D217D"/>
    <w:rsid w:val="006E6FE9"/>
    <w:rsid w:val="006E7805"/>
    <w:rsid w:val="0070101E"/>
    <w:rsid w:val="00731D1D"/>
    <w:rsid w:val="00751AC8"/>
    <w:rsid w:val="00754629"/>
    <w:rsid w:val="0075465A"/>
    <w:rsid w:val="00762F8A"/>
    <w:rsid w:val="007737AF"/>
    <w:rsid w:val="00790349"/>
    <w:rsid w:val="007B77F2"/>
    <w:rsid w:val="007D27F3"/>
    <w:rsid w:val="008320A0"/>
    <w:rsid w:val="00834589"/>
    <w:rsid w:val="00877A76"/>
    <w:rsid w:val="008B69E5"/>
    <w:rsid w:val="008B6FD8"/>
    <w:rsid w:val="008E0DCC"/>
    <w:rsid w:val="008E48BA"/>
    <w:rsid w:val="008E78EE"/>
    <w:rsid w:val="008F468D"/>
    <w:rsid w:val="00901576"/>
    <w:rsid w:val="00901B6C"/>
    <w:rsid w:val="00915666"/>
    <w:rsid w:val="00983DC0"/>
    <w:rsid w:val="00A01CB5"/>
    <w:rsid w:val="00A36D38"/>
    <w:rsid w:val="00A534B0"/>
    <w:rsid w:val="00A83078"/>
    <w:rsid w:val="00A84ECA"/>
    <w:rsid w:val="00AA67A6"/>
    <w:rsid w:val="00AC1424"/>
    <w:rsid w:val="00B22F43"/>
    <w:rsid w:val="00B27746"/>
    <w:rsid w:val="00B35782"/>
    <w:rsid w:val="00B404A8"/>
    <w:rsid w:val="00B609CE"/>
    <w:rsid w:val="00B65B42"/>
    <w:rsid w:val="00B70D59"/>
    <w:rsid w:val="00B85AC3"/>
    <w:rsid w:val="00BA3BAD"/>
    <w:rsid w:val="00BA7E0D"/>
    <w:rsid w:val="00BB635D"/>
    <w:rsid w:val="00BD586D"/>
    <w:rsid w:val="00BD6843"/>
    <w:rsid w:val="00BE2B3B"/>
    <w:rsid w:val="00BE75B5"/>
    <w:rsid w:val="00C22A69"/>
    <w:rsid w:val="00C5518B"/>
    <w:rsid w:val="00C60FFD"/>
    <w:rsid w:val="00C827CD"/>
    <w:rsid w:val="00CB6C6C"/>
    <w:rsid w:val="00D0128A"/>
    <w:rsid w:val="00D0318F"/>
    <w:rsid w:val="00D31892"/>
    <w:rsid w:val="00D3681F"/>
    <w:rsid w:val="00D44433"/>
    <w:rsid w:val="00D51863"/>
    <w:rsid w:val="00D52842"/>
    <w:rsid w:val="00D56AF4"/>
    <w:rsid w:val="00D837CB"/>
    <w:rsid w:val="00D90D58"/>
    <w:rsid w:val="00DA673B"/>
    <w:rsid w:val="00DC7050"/>
    <w:rsid w:val="00DE1CFF"/>
    <w:rsid w:val="00DE3871"/>
    <w:rsid w:val="00DE6C72"/>
    <w:rsid w:val="00E079A5"/>
    <w:rsid w:val="00E12F32"/>
    <w:rsid w:val="00E1768C"/>
    <w:rsid w:val="00E36329"/>
    <w:rsid w:val="00E51DF9"/>
    <w:rsid w:val="00E64801"/>
    <w:rsid w:val="00E7327F"/>
    <w:rsid w:val="00F03E06"/>
    <w:rsid w:val="00F045EC"/>
    <w:rsid w:val="00F14CB7"/>
    <w:rsid w:val="00F22C52"/>
    <w:rsid w:val="00F24CB4"/>
    <w:rsid w:val="00F425CE"/>
    <w:rsid w:val="00F679F0"/>
    <w:rsid w:val="00FA6643"/>
    <w:rsid w:val="00FD01AD"/>
    <w:rsid w:val="00FE6E40"/>
    <w:rsid w:val="33C4678A"/>
    <w:rsid w:val="547668AF"/>
    <w:rsid w:val="76C13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table" w:styleId="8">
    <w:name w:val="Table Grid"/>
    <w:basedOn w:val="7"/>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character" w:customStyle="1" w:styleId="11">
    <w:name w:val="日期 Char"/>
    <w:basedOn w:val="6"/>
    <w:link w:val="2"/>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440</Words>
  <Characters>2510</Characters>
  <Lines>20</Lines>
  <Paragraphs>5</Paragraphs>
  <ScaleCrop>false</ScaleCrop>
  <LinksUpToDate>false</LinksUpToDate>
  <CharactersWithSpaces>2945</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2018-04-17T07:10:00Z</dcterms:created>
  <dc:creator>quwei</dc:creator>
  <cp:lastModifiedBy>蔡莉莉</cp:lastModifiedBy>
  <cp:lastPrinted>2018-05-03T01:48:00Z</cp:lastPrinted>
  <dcterms:modified xsi:type="dcterms:W3CDTF">2018-05-07T10:09:39Z</dcterms:modified>
  <dc:title>关于规范区机关大院非公务车过夜停放</dc:title>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